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4754F" w14:textId="77777777" w:rsidR="007C7138" w:rsidRPr="00D30B63" w:rsidRDefault="007C7138">
      <w:pPr>
        <w:rPr>
          <w:rFonts w:ascii="Arial" w:hAnsi="Arial" w:cs="Arial"/>
          <w:sz w:val="24"/>
          <w:szCs w:val="24"/>
        </w:rPr>
      </w:pPr>
    </w:p>
    <w:p w14:paraId="7215179C" w14:textId="77777777" w:rsidR="00EB1E99" w:rsidRPr="00D30B63" w:rsidRDefault="00EB1E9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7089"/>
      </w:tblGrid>
      <w:tr w:rsidR="004F7E53" w:rsidRPr="004F7E53" w14:paraId="224A9139" w14:textId="77777777" w:rsidTr="00AB42EC">
        <w:tc>
          <w:tcPr>
            <w:tcW w:w="2973" w:type="dxa"/>
            <w:shd w:val="clear" w:color="auto" w:fill="auto"/>
            <w:vAlign w:val="center"/>
          </w:tcPr>
          <w:p w14:paraId="2E37B98E" w14:textId="1FC3DE3F" w:rsidR="004F7E53" w:rsidRPr="004F7E53" w:rsidRDefault="009E2567" w:rsidP="0036133A">
            <w:pPr>
              <w:spacing w:after="0" w:line="240" w:lineRule="auto"/>
              <w:jc w:val="center"/>
              <w:rPr>
                <w:rFonts w:ascii="Arial" w:eastAsia="Times New Roman" w:hAnsi="Arial" w:cs="Arial"/>
                <w:szCs w:val="20"/>
                <w:lang w:eastAsia="fr-FR"/>
              </w:rPr>
            </w:pPr>
            <w:r w:rsidRPr="00C21AB9">
              <w:rPr>
                <w:noProof/>
              </w:rPr>
              <w:drawing>
                <wp:inline distT="0" distB="0" distL="0" distR="0" wp14:anchorId="4B2B20E6" wp14:editId="1DE2C59D">
                  <wp:extent cx="1304925" cy="1143000"/>
                  <wp:effectExtent l="0" t="0" r="0" b="0"/>
                  <wp:docPr id="1" name="_x0000_i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10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143000"/>
                          </a:xfrm>
                          <a:prstGeom prst="rect">
                            <a:avLst/>
                          </a:prstGeom>
                          <a:noFill/>
                          <a:ln>
                            <a:noFill/>
                          </a:ln>
                        </pic:spPr>
                      </pic:pic>
                    </a:graphicData>
                  </a:graphic>
                </wp:inline>
              </w:drawing>
            </w:r>
          </w:p>
        </w:tc>
        <w:tc>
          <w:tcPr>
            <w:tcW w:w="7089" w:type="dxa"/>
            <w:shd w:val="clear" w:color="auto" w:fill="auto"/>
          </w:tcPr>
          <w:p w14:paraId="2AD6360F"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b/>
                <w:bCs/>
                <w:lang w:eastAsia="fr-FR"/>
              </w:rPr>
            </w:pPr>
          </w:p>
          <w:p w14:paraId="76E49D23"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b/>
                <w:bCs/>
                <w:lang w:eastAsia="fr-FR"/>
              </w:rPr>
            </w:pPr>
            <w:r w:rsidRPr="004F7E53">
              <w:rPr>
                <w:rFonts w:ascii="Arial" w:eastAsia="Times New Roman" w:hAnsi="Arial" w:cs="Arial"/>
                <w:b/>
                <w:bCs/>
                <w:lang w:eastAsia="fr-FR"/>
              </w:rPr>
              <w:t>INSTITUT POLYTECHNIQUE DE GRENOBLE</w:t>
            </w:r>
          </w:p>
          <w:p w14:paraId="3B6D30B1"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b/>
                <w:bCs/>
                <w:lang w:eastAsia="fr-FR"/>
              </w:rPr>
            </w:pPr>
          </w:p>
          <w:p w14:paraId="66F1BC35" w14:textId="77777777" w:rsidR="00054747" w:rsidRDefault="00054747" w:rsidP="004F7E53">
            <w:pPr>
              <w:overflowPunct w:val="0"/>
              <w:autoSpaceDE w:val="0"/>
              <w:autoSpaceDN w:val="0"/>
              <w:adjustRightInd w:val="0"/>
              <w:spacing w:after="0" w:line="240" w:lineRule="auto"/>
              <w:jc w:val="center"/>
              <w:textAlignment w:val="baseline"/>
              <w:rPr>
                <w:rFonts w:ascii="Arial" w:eastAsia="Times New Roman" w:hAnsi="Arial" w:cs="Arial"/>
                <w:b/>
                <w:bCs/>
                <w:lang w:eastAsia="fr-FR"/>
              </w:rPr>
            </w:pPr>
            <w:r>
              <w:rPr>
                <w:rFonts w:ascii="Arial" w:eastAsia="Times New Roman" w:hAnsi="Arial" w:cs="Arial"/>
                <w:b/>
                <w:bCs/>
                <w:lang w:eastAsia="fr-FR"/>
              </w:rPr>
              <w:t>M</w:t>
            </w:r>
            <w:r w:rsidR="004F7E53" w:rsidRPr="004F7E53">
              <w:rPr>
                <w:rFonts w:ascii="Arial" w:eastAsia="Times New Roman" w:hAnsi="Arial" w:cs="Arial"/>
                <w:b/>
                <w:bCs/>
                <w:lang w:eastAsia="fr-FR"/>
              </w:rPr>
              <w:t xml:space="preserve">aintenance </w:t>
            </w:r>
            <w:r>
              <w:rPr>
                <w:rFonts w:ascii="Arial" w:eastAsia="Times New Roman" w:hAnsi="Arial" w:cs="Arial"/>
                <w:b/>
                <w:bCs/>
                <w:lang w:eastAsia="fr-FR"/>
              </w:rPr>
              <w:t xml:space="preserve">et fourniture </w:t>
            </w:r>
            <w:r w:rsidR="004F7E53" w:rsidRPr="004F7E53">
              <w:rPr>
                <w:rFonts w:ascii="Arial" w:eastAsia="Times New Roman" w:hAnsi="Arial" w:cs="Arial"/>
                <w:b/>
                <w:bCs/>
                <w:lang w:eastAsia="fr-FR"/>
              </w:rPr>
              <w:t>d</w:t>
            </w:r>
            <w:r w:rsidR="004F7E53">
              <w:rPr>
                <w:rFonts w:ascii="Arial" w:eastAsia="Times New Roman" w:hAnsi="Arial" w:cs="Arial"/>
                <w:b/>
                <w:bCs/>
                <w:lang w:eastAsia="fr-FR"/>
              </w:rPr>
              <w:t>’onduleurs</w:t>
            </w:r>
          </w:p>
          <w:p w14:paraId="62CE2926"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b/>
                <w:bCs/>
                <w:lang w:eastAsia="fr-FR"/>
              </w:rPr>
            </w:pPr>
            <w:r>
              <w:rPr>
                <w:rFonts w:ascii="Arial" w:eastAsia="Times New Roman" w:hAnsi="Arial" w:cs="Arial"/>
                <w:b/>
                <w:bCs/>
                <w:lang w:eastAsia="fr-FR"/>
              </w:rPr>
              <w:t xml:space="preserve">au profit </w:t>
            </w:r>
            <w:r w:rsidRPr="004F7E53">
              <w:rPr>
                <w:rFonts w:ascii="Arial" w:eastAsia="Times New Roman" w:hAnsi="Arial" w:cs="Arial"/>
                <w:b/>
                <w:bCs/>
                <w:lang w:eastAsia="fr-FR"/>
              </w:rPr>
              <w:t xml:space="preserve">de l’Institut polytechnique de Grenoble </w:t>
            </w:r>
          </w:p>
          <w:p w14:paraId="1A0D863A"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b/>
                <w:lang w:eastAsia="fr-FR"/>
              </w:rPr>
            </w:pPr>
          </w:p>
          <w:p w14:paraId="13E3165F"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b/>
                <w:lang w:eastAsia="fr-FR"/>
              </w:rPr>
            </w:pPr>
            <w:r w:rsidRPr="004F7E53">
              <w:rPr>
                <w:rFonts w:ascii="Arial" w:eastAsia="Times New Roman" w:hAnsi="Arial" w:cs="Arial"/>
                <w:b/>
                <w:lang w:eastAsia="fr-FR"/>
              </w:rPr>
              <w:t xml:space="preserve">Consultation n° </w:t>
            </w:r>
            <w:r w:rsidR="00DC7FD8" w:rsidRPr="00DC7FD8">
              <w:rPr>
                <w:rFonts w:ascii="Arial" w:eastAsia="Times New Roman" w:hAnsi="Arial" w:cs="Arial"/>
                <w:b/>
                <w:lang w:eastAsia="fr-FR"/>
              </w:rPr>
              <w:t>2026FCSSA0005</w:t>
            </w:r>
          </w:p>
          <w:p w14:paraId="09DDEFF0" w14:textId="77777777" w:rsidR="004F7E53" w:rsidRPr="004F7E53" w:rsidRDefault="004F7E53" w:rsidP="004F7E53">
            <w:pPr>
              <w:overflowPunct w:val="0"/>
              <w:autoSpaceDE w:val="0"/>
              <w:autoSpaceDN w:val="0"/>
              <w:adjustRightInd w:val="0"/>
              <w:spacing w:after="0" w:line="240" w:lineRule="auto"/>
              <w:jc w:val="center"/>
              <w:textAlignment w:val="baseline"/>
              <w:rPr>
                <w:rFonts w:ascii="Arial" w:eastAsia="Times New Roman" w:hAnsi="Arial" w:cs="Arial"/>
                <w:szCs w:val="20"/>
                <w:lang w:eastAsia="fr-FR"/>
              </w:rPr>
            </w:pPr>
          </w:p>
        </w:tc>
      </w:tr>
    </w:tbl>
    <w:p w14:paraId="21B1F2AE" w14:textId="77777777" w:rsidR="004F7E53" w:rsidRPr="004F7E53" w:rsidRDefault="004F7E53" w:rsidP="004F7E53">
      <w:pPr>
        <w:spacing w:after="0" w:line="240" w:lineRule="auto"/>
        <w:jc w:val="center"/>
        <w:rPr>
          <w:rFonts w:ascii="Arial" w:eastAsia="Times New Roman" w:hAnsi="Arial" w:cs="Arial"/>
          <w:sz w:val="20"/>
          <w:szCs w:val="20"/>
          <w:lang w:eastAsia="fr-FR"/>
        </w:rPr>
      </w:pPr>
    </w:p>
    <w:p w14:paraId="42B7AED0" w14:textId="77777777" w:rsidR="004F7E53" w:rsidRPr="004F7E53" w:rsidRDefault="004F7E53" w:rsidP="004F7E53">
      <w:pPr>
        <w:spacing w:after="0" w:line="240" w:lineRule="auto"/>
        <w:jc w:val="center"/>
        <w:rPr>
          <w:rFonts w:ascii="Arial" w:eastAsia="Times New Roman" w:hAnsi="Arial" w:cs="Arial"/>
          <w:sz w:val="20"/>
          <w:szCs w:val="20"/>
          <w:lang w:eastAsia="fr-FR"/>
        </w:rPr>
      </w:pPr>
    </w:p>
    <w:p w14:paraId="1BBA44D8" w14:textId="77777777" w:rsidR="004F7E53" w:rsidRPr="004F7E53" w:rsidRDefault="004F7E53" w:rsidP="004F7E53">
      <w:pPr>
        <w:spacing w:after="0" w:line="240" w:lineRule="auto"/>
        <w:jc w:val="center"/>
        <w:rPr>
          <w:rFonts w:ascii="Arial" w:eastAsia="Times New Roman" w:hAnsi="Arial" w:cs="Arial"/>
          <w:b/>
          <w:bCs/>
          <w:szCs w:val="20"/>
          <w:lang w:eastAsia="fr-FR"/>
        </w:rPr>
      </w:pPr>
    </w:p>
    <w:p w14:paraId="53EFDFCB" w14:textId="77777777" w:rsidR="004F7E53" w:rsidRPr="004F7E53" w:rsidRDefault="004F7E53" w:rsidP="004F7E53">
      <w:pPr>
        <w:pBdr>
          <w:top w:val="single" w:sz="4" w:space="1" w:color="auto"/>
          <w:left w:val="single" w:sz="4" w:space="4" w:color="auto"/>
          <w:bottom w:val="single" w:sz="4" w:space="1" w:color="auto"/>
          <w:right w:val="single" w:sz="4" w:space="0" w:color="auto"/>
        </w:pBdr>
        <w:spacing w:after="60" w:line="360" w:lineRule="atLeast"/>
        <w:ind w:right="-1"/>
        <w:jc w:val="center"/>
        <w:rPr>
          <w:rFonts w:ascii="Arial" w:eastAsia="Times New Roman" w:hAnsi="Arial" w:cs="Arial"/>
          <w:b/>
          <w:sz w:val="28"/>
          <w:szCs w:val="28"/>
          <w:lang w:eastAsia="fr-FR"/>
        </w:rPr>
      </w:pPr>
      <w:r w:rsidRPr="004F7E53">
        <w:rPr>
          <w:rFonts w:ascii="Arial" w:eastAsia="Times New Roman" w:hAnsi="Arial" w:cs="Arial"/>
          <w:b/>
          <w:sz w:val="28"/>
          <w:szCs w:val="28"/>
          <w:lang w:eastAsia="fr-FR"/>
        </w:rPr>
        <w:t>CADRE DE REPONSE TECHNIQUE</w:t>
      </w:r>
      <w:r w:rsidR="00FC5324">
        <w:rPr>
          <w:rFonts w:ascii="Arial" w:eastAsia="Times New Roman" w:hAnsi="Arial" w:cs="Arial"/>
          <w:b/>
          <w:sz w:val="28"/>
          <w:szCs w:val="28"/>
          <w:lang w:eastAsia="fr-FR"/>
        </w:rPr>
        <w:t xml:space="preserve"> ET ENVIRONNEMENTAL</w:t>
      </w:r>
    </w:p>
    <w:p w14:paraId="346959F8" w14:textId="77777777" w:rsidR="00114C1B" w:rsidRPr="00114C1B" w:rsidRDefault="00114C1B" w:rsidP="00114C1B">
      <w:pPr>
        <w:rPr>
          <w:lang w:eastAsia="fr-FR"/>
        </w:rPr>
      </w:pPr>
    </w:p>
    <w:p w14:paraId="48AD5629" w14:textId="77777777" w:rsidR="00DC7FD8" w:rsidRDefault="00DC7FD8" w:rsidP="00DC7FD8">
      <w:pPr>
        <w:spacing w:after="0" w:line="240" w:lineRule="auto"/>
        <w:jc w:val="both"/>
        <w:rPr>
          <w:rFonts w:ascii="Arial" w:hAnsi="Arial" w:cs="Arial"/>
        </w:rPr>
      </w:pPr>
      <w:r w:rsidRPr="00E712BC">
        <w:rPr>
          <w:rFonts w:ascii="Arial" w:hAnsi="Arial" w:cs="Arial"/>
          <w:b/>
        </w:rPr>
        <w:t>Candidat :</w:t>
      </w:r>
      <w:r w:rsidRPr="00E712BC">
        <w:rPr>
          <w:rFonts w:ascii="Arial" w:hAnsi="Arial" w:cs="Arial"/>
        </w:rPr>
        <w:t xml:space="preserve"> </w:t>
      </w:r>
      <w:permStart w:id="1470518079" w:edGrp="everyone"/>
      <w:r w:rsidRPr="00E712BC">
        <w:rPr>
          <w:rFonts w:ascii="Arial" w:hAnsi="Arial" w:cs="Arial"/>
        </w:rPr>
        <w:t xml:space="preserve"> </w:t>
      </w:r>
      <w:r>
        <w:rPr>
          <w:rFonts w:ascii="Arial" w:hAnsi="Arial" w:cs="Arial"/>
        </w:rPr>
        <w:t xml:space="preserve">    </w:t>
      </w:r>
      <w:r w:rsidRPr="00E712BC">
        <w:rPr>
          <w:rFonts w:ascii="Arial" w:hAnsi="Arial" w:cs="Arial"/>
        </w:rPr>
        <w:t xml:space="preserve"> </w:t>
      </w:r>
    </w:p>
    <w:permEnd w:id="1470518079"/>
    <w:p w14:paraId="3CCF3F48" w14:textId="77777777" w:rsidR="00114C1B" w:rsidRPr="006215F9" w:rsidRDefault="00114C1B" w:rsidP="00DC7FD8">
      <w:pPr>
        <w:spacing w:after="0" w:line="240" w:lineRule="auto"/>
        <w:jc w:val="both"/>
        <w:rPr>
          <w:rFonts w:ascii="Arial" w:eastAsia="Aptos" w:hAnsi="Arial" w:cs="Arial"/>
          <w:b/>
          <w:color w:val="FFFFFF"/>
          <w:highlight w:val="red"/>
        </w:rPr>
      </w:pPr>
    </w:p>
    <w:p w14:paraId="75BB8592" w14:textId="77777777" w:rsidR="00DC7FD8" w:rsidRPr="009507FF" w:rsidRDefault="00057943" w:rsidP="00057943">
      <w:pPr>
        <w:pStyle w:val="Titre1"/>
        <w:numPr>
          <w:ilvl w:val="0"/>
          <w:numId w:val="4"/>
        </w:numPr>
        <w:rPr>
          <w:rFonts w:ascii="Arial" w:hAnsi="Arial" w:cs="Arial"/>
          <w:sz w:val="24"/>
          <w:szCs w:val="24"/>
        </w:rPr>
      </w:pPr>
      <w:bookmarkStart w:id="0" w:name="_Toc223013571"/>
      <w:r w:rsidRPr="009507FF">
        <w:rPr>
          <w:rFonts w:ascii="Arial" w:hAnsi="Arial" w:cs="Arial"/>
          <w:sz w:val="24"/>
          <w:szCs w:val="24"/>
        </w:rPr>
        <w:t>INTERLOCUTEUR(S) REFERENT(S) DEDIE(S) A L’EXECUTION DU MARCHE</w:t>
      </w:r>
      <w:bookmarkEnd w:id="0"/>
    </w:p>
    <w:p w14:paraId="360018C4" w14:textId="77777777" w:rsidR="00DC7FD8" w:rsidRPr="006215F9" w:rsidRDefault="00DC7FD8" w:rsidP="00DC7FD8">
      <w:pPr>
        <w:spacing w:after="0" w:line="240" w:lineRule="auto"/>
        <w:ind w:right="-710"/>
        <w:rPr>
          <w:rFonts w:ascii="Arial" w:hAnsi="Arial" w:cs="Arial"/>
          <w:b/>
          <w:caps/>
        </w:rPr>
      </w:pPr>
    </w:p>
    <w:p w14:paraId="3CC2F23E" w14:textId="77777777" w:rsidR="00114C1B" w:rsidRPr="006215F9" w:rsidRDefault="00114C1B" w:rsidP="00DC7FD8">
      <w:pPr>
        <w:spacing w:after="0" w:line="240" w:lineRule="auto"/>
        <w:ind w:right="-710"/>
        <w:rPr>
          <w:rFonts w:ascii="Arial" w:hAnsi="Arial" w:cs="Arial"/>
          <w:b/>
          <w:caps/>
        </w:rPr>
      </w:pPr>
    </w:p>
    <w:p w14:paraId="1DD4029A" w14:textId="77777777" w:rsidR="00DC7FD8" w:rsidRPr="006215F9" w:rsidRDefault="00DC7FD8"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6215F9">
        <w:rPr>
          <w:rFonts w:ascii="Arial" w:hAnsi="Arial" w:cs="Arial"/>
          <w:b/>
          <w:bCs/>
          <w:caps/>
        </w:rPr>
        <w:t>Referent technique principal</w:t>
      </w:r>
    </w:p>
    <w:p w14:paraId="69748BC2" w14:textId="77777777" w:rsidR="00DC7FD8" w:rsidRPr="006215F9" w:rsidRDefault="00114C1B"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2098418933" w:edGrp="everyone"/>
      <w:r w:rsidRPr="006215F9">
        <w:rPr>
          <w:rFonts w:ascii="Arial" w:hAnsi="Arial" w:cs="Arial"/>
          <w:bCs/>
        </w:rPr>
        <w:t xml:space="preserve">Nom </w:t>
      </w:r>
      <w:r w:rsidR="00DC7FD8" w:rsidRPr="006215F9">
        <w:rPr>
          <w:rFonts w:ascii="Arial" w:hAnsi="Arial" w:cs="Arial"/>
          <w:bCs/>
        </w:rPr>
        <w:t xml:space="preserve">- Prénom : </w:t>
      </w:r>
    </w:p>
    <w:p w14:paraId="37228C0F" w14:textId="77777777" w:rsidR="00DC7FD8" w:rsidRPr="006215F9" w:rsidRDefault="00DC7FD8" w:rsidP="00DC7FD8">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6215F9">
        <w:rPr>
          <w:rFonts w:ascii="Arial" w:hAnsi="Arial" w:cs="Arial"/>
          <w:bCs/>
        </w:rPr>
        <w:t xml:space="preserve">Adresse : </w:t>
      </w:r>
    </w:p>
    <w:p w14:paraId="4363FB95"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Téléphone :</w:t>
      </w:r>
    </w:p>
    <w:p w14:paraId="6DB75EB0"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Courriel :</w:t>
      </w:r>
    </w:p>
    <w:permEnd w:id="2098418933"/>
    <w:p w14:paraId="2EB884CB" w14:textId="77777777" w:rsidR="00DC7FD8" w:rsidRPr="006215F9" w:rsidRDefault="00DC7FD8" w:rsidP="00DC7FD8">
      <w:pPr>
        <w:spacing w:after="0" w:line="240" w:lineRule="auto"/>
        <w:ind w:right="-710"/>
        <w:rPr>
          <w:rFonts w:ascii="Arial" w:hAnsi="Arial" w:cs="Arial"/>
          <w:b/>
          <w:caps/>
        </w:rPr>
      </w:pPr>
    </w:p>
    <w:p w14:paraId="77CB2726" w14:textId="77777777" w:rsidR="00DC7FD8" w:rsidRPr="006215F9" w:rsidRDefault="00DC7FD8"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6215F9">
        <w:rPr>
          <w:rFonts w:ascii="Arial" w:hAnsi="Arial" w:cs="Arial"/>
          <w:b/>
          <w:bCs/>
          <w:caps/>
        </w:rPr>
        <w:t>Referent technique suppleant</w:t>
      </w:r>
      <w:r w:rsidR="00114C1B" w:rsidRPr="006215F9">
        <w:rPr>
          <w:rFonts w:ascii="Arial" w:hAnsi="Arial" w:cs="Arial"/>
          <w:b/>
          <w:bCs/>
          <w:caps/>
        </w:rPr>
        <w:t xml:space="preserve"> (LE CAS ECHEANT)</w:t>
      </w:r>
    </w:p>
    <w:p w14:paraId="47A9E0FA" w14:textId="77777777" w:rsidR="00DC7FD8" w:rsidRPr="006215F9" w:rsidRDefault="00114C1B"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2115112720" w:edGrp="everyone"/>
      <w:r w:rsidRPr="006215F9">
        <w:rPr>
          <w:rFonts w:ascii="Arial" w:hAnsi="Arial" w:cs="Arial"/>
          <w:bCs/>
        </w:rPr>
        <w:t>Nom</w:t>
      </w:r>
      <w:r w:rsidR="00DC7FD8" w:rsidRPr="006215F9">
        <w:rPr>
          <w:rFonts w:ascii="Arial" w:hAnsi="Arial" w:cs="Arial"/>
          <w:bCs/>
        </w:rPr>
        <w:t xml:space="preserve"> - Prénom : </w:t>
      </w:r>
    </w:p>
    <w:p w14:paraId="5B28C08B" w14:textId="77777777" w:rsidR="00DC7FD8" w:rsidRPr="006215F9" w:rsidRDefault="00DC7FD8" w:rsidP="00DC7FD8">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6215F9">
        <w:rPr>
          <w:rFonts w:ascii="Arial" w:hAnsi="Arial" w:cs="Arial"/>
          <w:bCs/>
        </w:rPr>
        <w:t xml:space="preserve">Adresse : </w:t>
      </w:r>
    </w:p>
    <w:p w14:paraId="456F79A6"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Téléphone :</w:t>
      </w:r>
    </w:p>
    <w:p w14:paraId="609AB762"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Courriel :</w:t>
      </w:r>
    </w:p>
    <w:permEnd w:id="2115112720"/>
    <w:p w14:paraId="2A7A21E4" w14:textId="77777777" w:rsidR="00DC7FD8" w:rsidRPr="006215F9" w:rsidRDefault="00DC7FD8" w:rsidP="00DC7FD8">
      <w:pPr>
        <w:spacing w:after="0" w:line="240" w:lineRule="auto"/>
        <w:ind w:left="-142" w:right="-710"/>
        <w:rPr>
          <w:rFonts w:ascii="Arial" w:hAnsi="Arial" w:cs="Arial"/>
          <w:b/>
          <w:caps/>
        </w:rPr>
      </w:pPr>
    </w:p>
    <w:p w14:paraId="2A72E1E6" w14:textId="77777777" w:rsidR="00DC7FD8" w:rsidRPr="006215F9" w:rsidRDefault="00114C1B"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6215F9">
        <w:rPr>
          <w:rFonts w:ascii="Arial" w:hAnsi="Arial" w:cs="Arial"/>
          <w:b/>
          <w:bCs/>
          <w:caps/>
        </w:rPr>
        <w:t>referent</w:t>
      </w:r>
      <w:r w:rsidR="00DC7FD8" w:rsidRPr="006215F9">
        <w:rPr>
          <w:rFonts w:ascii="Arial" w:hAnsi="Arial" w:cs="Arial"/>
          <w:b/>
          <w:bCs/>
          <w:caps/>
        </w:rPr>
        <w:t xml:space="preserve"> administratif</w:t>
      </w:r>
      <w:r w:rsidRPr="006215F9">
        <w:rPr>
          <w:rFonts w:ascii="Arial" w:hAnsi="Arial" w:cs="Arial"/>
          <w:b/>
          <w:bCs/>
          <w:caps/>
        </w:rPr>
        <w:t xml:space="preserve"> principal</w:t>
      </w:r>
    </w:p>
    <w:p w14:paraId="145105A1" w14:textId="77777777" w:rsidR="00DC7FD8" w:rsidRPr="006215F9" w:rsidRDefault="00114C1B"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1025129790" w:edGrp="everyone"/>
      <w:r w:rsidRPr="006215F9">
        <w:rPr>
          <w:rFonts w:ascii="Arial" w:hAnsi="Arial" w:cs="Arial"/>
          <w:bCs/>
        </w:rPr>
        <w:t>Nom</w:t>
      </w:r>
      <w:r w:rsidR="00DC7FD8" w:rsidRPr="006215F9">
        <w:rPr>
          <w:rFonts w:ascii="Arial" w:hAnsi="Arial" w:cs="Arial"/>
          <w:bCs/>
        </w:rPr>
        <w:t xml:space="preserve"> - Prénom : </w:t>
      </w:r>
    </w:p>
    <w:p w14:paraId="0351B980" w14:textId="77777777" w:rsidR="00DC7FD8" w:rsidRPr="006215F9" w:rsidRDefault="00DC7FD8" w:rsidP="00DC7FD8">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6215F9">
        <w:rPr>
          <w:rFonts w:ascii="Arial" w:hAnsi="Arial" w:cs="Arial"/>
          <w:bCs/>
        </w:rPr>
        <w:t xml:space="preserve">Adresse : </w:t>
      </w:r>
    </w:p>
    <w:p w14:paraId="714605F7"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Téléphone :</w:t>
      </w:r>
    </w:p>
    <w:p w14:paraId="265FC3DA"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Courriel :</w:t>
      </w:r>
    </w:p>
    <w:permEnd w:id="1025129790"/>
    <w:p w14:paraId="42E95AFC" w14:textId="77777777" w:rsidR="00DC7FD8" w:rsidRPr="006215F9" w:rsidRDefault="00DC7FD8" w:rsidP="00DC7FD8">
      <w:pPr>
        <w:spacing w:after="0" w:line="240" w:lineRule="auto"/>
        <w:ind w:right="-710"/>
        <w:rPr>
          <w:rFonts w:ascii="Arial" w:hAnsi="Arial" w:cs="Arial"/>
          <w:b/>
          <w:caps/>
        </w:rPr>
      </w:pPr>
    </w:p>
    <w:p w14:paraId="0D5458C1" w14:textId="77777777" w:rsidR="00DC7FD8" w:rsidRPr="006215F9" w:rsidRDefault="00DC7FD8" w:rsidP="00DC7FD8">
      <w:pPr>
        <w:spacing w:after="0" w:line="240" w:lineRule="auto"/>
        <w:ind w:left="-142" w:right="-710"/>
        <w:rPr>
          <w:rFonts w:ascii="Arial" w:hAnsi="Arial" w:cs="Arial"/>
          <w:b/>
          <w:caps/>
        </w:rPr>
      </w:pPr>
    </w:p>
    <w:p w14:paraId="77DDAA78" w14:textId="77777777" w:rsidR="00114C1B" w:rsidRPr="006215F9" w:rsidRDefault="00114C1B" w:rsidP="00114C1B">
      <w:pPr>
        <w:spacing w:after="0" w:line="240" w:lineRule="auto"/>
        <w:ind w:left="-142" w:right="-710"/>
        <w:rPr>
          <w:rFonts w:ascii="Arial" w:hAnsi="Arial" w:cs="Arial"/>
          <w:b/>
          <w:caps/>
        </w:rPr>
      </w:pPr>
    </w:p>
    <w:p w14:paraId="0DE1ACF1" w14:textId="77777777" w:rsidR="00114C1B" w:rsidRPr="006215F9" w:rsidRDefault="00114C1B" w:rsidP="00114C1B">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6215F9">
        <w:rPr>
          <w:rFonts w:ascii="Arial" w:hAnsi="Arial" w:cs="Arial"/>
          <w:b/>
          <w:bCs/>
          <w:caps/>
        </w:rPr>
        <w:t>referent administratif suppleant (LE CAS ECHEANT)</w:t>
      </w:r>
    </w:p>
    <w:p w14:paraId="25B44A08" w14:textId="77777777" w:rsidR="00114C1B" w:rsidRPr="006215F9" w:rsidRDefault="00114C1B" w:rsidP="00114C1B">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50290060" w:edGrp="everyone"/>
      <w:r w:rsidRPr="006215F9">
        <w:rPr>
          <w:rFonts w:ascii="Arial" w:hAnsi="Arial" w:cs="Arial"/>
          <w:bCs/>
        </w:rPr>
        <w:t xml:space="preserve">Nom - Prénom : </w:t>
      </w:r>
    </w:p>
    <w:p w14:paraId="1088DC64" w14:textId="77777777" w:rsidR="00114C1B" w:rsidRPr="006215F9" w:rsidRDefault="00114C1B" w:rsidP="00114C1B">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6215F9">
        <w:rPr>
          <w:rFonts w:ascii="Arial" w:hAnsi="Arial" w:cs="Arial"/>
          <w:bCs/>
        </w:rPr>
        <w:lastRenderedPageBreak/>
        <w:t xml:space="preserve">Adresse : </w:t>
      </w:r>
    </w:p>
    <w:p w14:paraId="6D7BA6BE" w14:textId="77777777" w:rsidR="00114C1B" w:rsidRPr="006215F9" w:rsidRDefault="00114C1B" w:rsidP="00114C1B">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Téléphone :</w:t>
      </w:r>
    </w:p>
    <w:p w14:paraId="3BB8ACA0" w14:textId="77777777" w:rsidR="00114C1B" w:rsidRPr="006215F9" w:rsidRDefault="00114C1B" w:rsidP="00114C1B">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Courriel :</w:t>
      </w:r>
    </w:p>
    <w:permEnd w:id="50290060"/>
    <w:p w14:paraId="36C35BA7" w14:textId="77777777" w:rsidR="00DC7FD8" w:rsidRPr="006215F9" w:rsidRDefault="00DC7FD8" w:rsidP="00DC7FD8">
      <w:pPr>
        <w:spacing w:after="0" w:line="240" w:lineRule="auto"/>
        <w:ind w:left="-142" w:right="-710"/>
        <w:rPr>
          <w:rFonts w:ascii="Arial" w:hAnsi="Arial" w:cs="Arial"/>
          <w:b/>
          <w:caps/>
        </w:rPr>
      </w:pPr>
    </w:p>
    <w:p w14:paraId="7F9FF439" w14:textId="77777777" w:rsidR="00DC7FD8" w:rsidRPr="006215F9" w:rsidRDefault="00114C1B"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6215F9">
        <w:rPr>
          <w:rFonts w:ascii="Arial" w:hAnsi="Arial" w:cs="Arial"/>
          <w:b/>
          <w:bCs/>
          <w:caps/>
        </w:rPr>
        <w:t xml:space="preserve">referent charge du </w:t>
      </w:r>
      <w:r w:rsidR="00DC7FD8" w:rsidRPr="006215F9">
        <w:rPr>
          <w:rFonts w:ascii="Arial" w:hAnsi="Arial" w:cs="Arial"/>
          <w:b/>
          <w:bCs/>
          <w:caps/>
        </w:rPr>
        <w:t>Suivi de</w:t>
      </w:r>
      <w:r w:rsidRPr="006215F9">
        <w:rPr>
          <w:rFonts w:ascii="Arial" w:hAnsi="Arial" w:cs="Arial"/>
          <w:b/>
          <w:bCs/>
          <w:caps/>
        </w:rPr>
        <w:t xml:space="preserve"> la</w:t>
      </w:r>
      <w:r w:rsidR="00DC7FD8" w:rsidRPr="006215F9">
        <w:rPr>
          <w:rFonts w:ascii="Arial" w:hAnsi="Arial" w:cs="Arial"/>
          <w:b/>
          <w:bCs/>
          <w:caps/>
        </w:rPr>
        <w:t xml:space="preserve"> facturation</w:t>
      </w:r>
      <w:r w:rsidRPr="006215F9">
        <w:rPr>
          <w:rFonts w:ascii="Arial" w:hAnsi="Arial" w:cs="Arial"/>
          <w:b/>
          <w:bCs/>
          <w:caps/>
        </w:rPr>
        <w:t xml:space="preserve"> principal</w:t>
      </w:r>
    </w:p>
    <w:p w14:paraId="366937C0" w14:textId="77777777" w:rsidR="00DC7FD8" w:rsidRPr="006215F9" w:rsidRDefault="00DC7FD8" w:rsidP="00DC7FD8">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1750214544" w:edGrp="everyone"/>
      <w:r w:rsidRPr="006215F9">
        <w:rPr>
          <w:rFonts w:ascii="Arial" w:hAnsi="Arial" w:cs="Arial"/>
          <w:bCs/>
        </w:rPr>
        <w:t xml:space="preserve">Nom - Prénom : </w:t>
      </w:r>
    </w:p>
    <w:p w14:paraId="7D8CA321" w14:textId="77777777" w:rsidR="00DC7FD8" w:rsidRPr="006215F9" w:rsidRDefault="00DC7FD8" w:rsidP="00DC7FD8">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6215F9">
        <w:rPr>
          <w:rFonts w:ascii="Arial" w:hAnsi="Arial" w:cs="Arial"/>
          <w:bCs/>
        </w:rPr>
        <w:t xml:space="preserve">Adresse : </w:t>
      </w:r>
    </w:p>
    <w:p w14:paraId="175B15C9"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Téléphone :</w:t>
      </w:r>
    </w:p>
    <w:p w14:paraId="1C5F8FF8" w14:textId="77777777" w:rsidR="00DC7FD8" w:rsidRPr="006215F9" w:rsidRDefault="00DC7FD8" w:rsidP="00DC7FD8">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Courriel :</w:t>
      </w:r>
    </w:p>
    <w:permEnd w:id="1750214544"/>
    <w:p w14:paraId="1922EFAB" w14:textId="77777777" w:rsidR="00DC7FD8" w:rsidRPr="006215F9" w:rsidRDefault="00DC7FD8" w:rsidP="00DC7FD8">
      <w:pPr>
        <w:spacing w:after="0" w:line="240" w:lineRule="auto"/>
        <w:jc w:val="both"/>
        <w:rPr>
          <w:rFonts w:ascii="Arial" w:hAnsi="Arial" w:cs="Arial"/>
          <w:b/>
        </w:rPr>
      </w:pPr>
    </w:p>
    <w:p w14:paraId="6C512D0A" w14:textId="77777777" w:rsidR="00114C1B" w:rsidRPr="006215F9" w:rsidRDefault="00114C1B" w:rsidP="00114C1B">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b/>
          <w:bCs/>
          <w:caps/>
        </w:rPr>
      </w:pPr>
      <w:r w:rsidRPr="006215F9">
        <w:rPr>
          <w:rFonts w:ascii="Arial" w:hAnsi="Arial" w:cs="Arial"/>
          <w:b/>
          <w:bCs/>
          <w:caps/>
        </w:rPr>
        <w:t>referent charge du Suivi de la facturation suppleant (LE CAS ECHEANT)</w:t>
      </w:r>
    </w:p>
    <w:p w14:paraId="0139C223" w14:textId="77777777" w:rsidR="00114C1B" w:rsidRPr="006215F9" w:rsidRDefault="00114C1B" w:rsidP="00114C1B">
      <w:pPr>
        <w:pBdr>
          <w:top w:val="single" w:sz="4" w:space="1" w:color="auto"/>
          <w:left w:val="single" w:sz="4" w:space="4" w:color="auto"/>
          <w:bottom w:val="single" w:sz="4" w:space="1" w:color="auto"/>
          <w:right w:val="single" w:sz="4" w:space="25" w:color="auto"/>
        </w:pBdr>
        <w:tabs>
          <w:tab w:val="left" w:pos="9072"/>
        </w:tabs>
        <w:spacing w:before="144" w:after="0" w:line="240" w:lineRule="auto"/>
        <w:ind w:right="425"/>
        <w:rPr>
          <w:rFonts w:ascii="Arial" w:hAnsi="Arial" w:cs="Arial"/>
        </w:rPr>
      </w:pPr>
      <w:permStart w:id="554593384" w:edGrp="everyone"/>
      <w:r w:rsidRPr="006215F9">
        <w:rPr>
          <w:rFonts w:ascii="Arial" w:hAnsi="Arial" w:cs="Arial"/>
          <w:bCs/>
        </w:rPr>
        <w:t xml:space="preserve">Nom - Prénom : </w:t>
      </w:r>
    </w:p>
    <w:p w14:paraId="1FD9629A" w14:textId="77777777" w:rsidR="00114C1B" w:rsidRPr="006215F9" w:rsidRDefault="00114C1B" w:rsidP="00114C1B">
      <w:pPr>
        <w:pBdr>
          <w:top w:val="single" w:sz="4" w:space="1" w:color="auto"/>
          <w:left w:val="single" w:sz="4" w:space="4" w:color="auto"/>
          <w:bottom w:val="single" w:sz="4" w:space="1" w:color="auto"/>
          <w:right w:val="single" w:sz="4" w:space="25" w:color="auto"/>
        </w:pBdr>
        <w:spacing w:before="144" w:after="0" w:line="240" w:lineRule="auto"/>
        <w:ind w:right="425"/>
        <w:rPr>
          <w:rFonts w:ascii="Arial" w:hAnsi="Arial" w:cs="Arial"/>
        </w:rPr>
      </w:pPr>
      <w:r w:rsidRPr="006215F9">
        <w:rPr>
          <w:rFonts w:ascii="Arial" w:hAnsi="Arial" w:cs="Arial"/>
          <w:bCs/>
        </w:rPr>
        <w:t xml:space="preserve">Adresse : </w:t>
      </w:r>
    </w:p>
    <w:p w14:paraId="71A87606" w14:textId="77777777" w:rsidR="00114C1B" w:rsidRPr="006215F9" w:rsidRDefault="00114C1B" w:rsidP="00114C1B">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Téléphone :</w:t>
      </w:r>
    </w:p>
    <w:p w14:paraId="66C4C5D7" w14:textId="77777777" w:rsidR="00114C1B" w:rsidRPr="006215F9" w:rsidRDefault="00114C1B" w:rsidP="00114C1B">
      <w:pPr>
        <w:pStyle w:val="En-tte"/>
        <w:pBdr>
          <w:top w:val="single" w:sz="4" w:space="1" w:color="auto"/>
          <w:left w:val="single" w:sz="4" w:space="4" w:color="auto"/>
          <w:bottom w:val="single" w:sz="4" w:space="1" w:color="auto"/>
          <w:right w:val="single" w:sz="4" w:space="25" w:color="auto"/>
        </w:pBdr>
        <w:spacing w:before="144"/>
        <w:ind w:right="425"/>
        <w:jc w:val="both"/>
        <w:rPr>
          <w:rFonts w:ascii="Arial" w:hAnsi="Arial" w:cs="Arial"/>
        </w:rPr>
      </w:pPr>
      <w:r w:rsidRPr="006215F9">
        <w:rPr>
          <w:rFonts w:ascii="Arial" w:hAnsi="Arial" w:cs="Arial"/>
        </w:rPr>
        <w:t>Courriel :</w:t>
      </w:r>
    </w:p>
    <w:permEnd w:id="554593384"/>
    <w:p w14:paraId="25E6C2DE" w14:textId="77777777" w:rsidR="004F7E53" w:rsidRPr="006215F9" w:rsidRDefault="004F7E53" w:rsidP="004F7E53">
      <w:pPr>
        <w:spacing w:after="0" w:line="240" w:lineRule="auto"/>
        <w:jc w:val="both"/>
        <w:rPr>
          <w:rFonts w:ascii="Arial" w:eastAsia="Times New Roman" w:hAnsi="Arial" w:cs="Arial"/>
          <w:b/>
          <w:lang w:eastAsia="fr-FR"/>
        </w:rPr>
      </w:pPr>
    </w:p>
    <w:p w14:paraId="20CE787F" w14:textId="77777777" w:rsidR="008E1EEF" w:rsidRPr="006215F9" w:rsidRDefault="008E1EEF" w:rsidP="004F7E53">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Cs w:val="20"/>
          <w:lang w:eastAsia="fr-FR"/>
        </w:rPr>
      </w:pPr>
    </w:p>
    <w:p w14:paraId="2BF15C4E"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6215F9">
        <w:rPr>
          <w:rFonts w:ascii="Arial" w:hAnsi="Arial" w:cs="Arial"/>
          <w:color w:val="FF0000"/>
        </w:rPr>
        <w:t>Il est fortement recommandé d’utiliser le présent cadre de réponse pour structurer les éléments attendus au titre des critères de jugement des offres décrits dans le règlement de la consultation.</w:t>
      </w:r>
    </w:p>
    <w:p w14:paraId="656EF0B4"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rPr>
          <w:rFonts w:ascii="Arial" w:hAnsi="Arial" w:cs="Arial"/>
          <w:color w:val="FF0000"/>
        </w:rPr>
      </w:pPr>
    </w:p>
    <w:p w14:paraId="6C151775"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6215F9">
        <w:rPr>
          <w:rFonts w:ascii="Arial" w:hAnsi="Arial" w:cs="Arial"/>
          <w:color w:val="FF0000"/>
        </w:rPr>
        <w:t>Toutefois, les candidats peuvent répondre dans un document distinct, à condition que celui-ci reprenne l’intégralité des titres, questions et sous-questions figurant dans ce cadre, dans le même ordre et de façon clairement identifiable.</w:t>
      </w:r>
    </w:p>
    <w:p w14:paraId="0031DD31"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p>
    <w:p w14:paraId="13FF53AE"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6215F9">
        <w:rPr>
          <w:rFonts w:ascii="Arial" w:hAnsi="Arial" w:cs="Arial"/>
          <w:color w:val="FF0000"/>
        </w:rPr>
        <w:t>Toute réponse incomplète pourra entraîner l’irrégularité de l’offre si elle empêche l’acheteur d’identifier clairement et complètement les informations demandées.</w:t>
      </w:r>
    </w:p>
    <w:p w14:paraId="4539FA80"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p>
    <w:p w14:paraId="5C4BE2DC"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6215F9">
        <w:rPr>
          <w:rFonts w:ascii="Arial" w:hAnsi="Arial" w:cs="Arial"/>
          <w:color w:val="FF0000"/>
        </w:rPr>
        <w:t>Les soumissionnaires apportent, dans le présent cadre technique, des réponses de qualité, exhaustives et concises.</w:t>
      </w:r>
    </w:p>
    <w:p w14:paraId="664B0695"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p>
    <w:p w14:paraId="67487B36" w14:textId="77777777" w:rsidR="00DC7FD8" w:rsidRPr="006215F9" w:rsidRDefault="00DC7FD8" w:rsidP="00DC7FD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0000"/>
        </w:rPr>
      </w:pPr>
      <w:r w:rsidRPr="006215F9">
        <w:rPr>
          <w:rFonts w:ascii="Arial" w:hAnsi="Arial" w:cs="Arial"/>
          <w:color w:val="FF0000"/>
        </w:rPr>
        <w:t xml:space="preserve">Il ne s’agit pas de reporter dans ce cadre les informations générales de l’entreprise relatives à la candidature mais les éléments spécifiques permettant de juger son offre. </w:t>
      </w:r>
    </w:p>
    <w:p w14:paraId="62ABB4D6" w14:textId="77777777" w:rsidR="00DC7FD8" w:rsidRPr="006215F9" w:rsidRDefault="00DC7FD8" w:rsidP="004F7E53">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Cs w:val="20"/>
          <w:lang w:eastAsia="fr-FR"/>
        </w:rPr>
      </w:pPr>
    </w:p>
    <w:p w14:paraId="704556FF" w14:textId="77777777" w:rsidR="004F7E53" w:rsidRPr="006215F9" w:rsidRDefault="004F7E53" w:rsidP="0076761D">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color w:val="FF0000"/>
          <w:szCs w:val="20"/>
          <w:u w:val="single"/>
          <w:lang w:eastAsia="fr-FR"/>
        </w:rPr>
      </w:pPr>
      <w:r w:rsidRPr="006215F9">
        <w:rPr>
          <w:rFonts w:ascii="Arial" w:eastAsia="Times New Roman" w:hAnsi="Arial" w:cs="Arial"/>
          <w:b/>
          <w:color w:val="FF0000"/>
          <w:szCs w:val="20"/>
          <w:u w:val="single"/>
          <w:lang w:eastAsia="fr-FR"/>
        </w:rPr>
        <w:t xml:space="preserve">Dans le cadre de la présente procédure de consultation, le </w:t>
      </w:r>
      <w:r w:rsidR="00DC7FD8" w:rsidRPr="006215F9">
        <w:rPr>
          <w:rFonts w:ascii="Arial" w:eastAsia="Times New Roman" w:hAnsi="Arial" w:cs="Arial"/>
          <w:b/>
          <w:color w:val="FF0000"/>
          <w:szCs w:val="20"/>
          <w:u w:val="single"/>
          <w:lang w:eastAsia="fr-FR"/>
        </w:rPr>
        <w:t>mémoire</w:t>
      </w:r>
      <w:r w:rsidRPr="006215F9">
        <w:rPr>
          <w:rFonts w:ascii="Arial" w:eastAsia="Times New Roman" w:hAnsi="Arial" w:cs="Arial"/>
          <w:b/>
          <w:color w:val="FF0000"/>
          <w:szCs w:val="20"/>
          <w:u w:val="single"/>
          <w:lang w:eastAsia="fr-FR"/>
        </w:rPr>
        <w:t xml:space="preserve"> technique est rendu contractuel.</w:t>
      </w:r>
    </w:p>
    <w:p w14:paraId="2F276C00" w14:textId="77777777" w:rsidR="004F7E53" w:rsidRPr="006215F9" w:rsidRDefault="004F7E53" w:rsidP="004F7E53">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Cs w:val="20"/>
          <w:lang w:eastAsia="fr-FR"/>
        </w:rPr>
      </w:pPr>
    </w:p>
    <w:p w14:paraId="1666FD1E" w14:textId="77777777" w:rsidR="004F7E53" w:rsidRPr="006215F9" w:rsidRDefault="004F7E53" w:rsidP="004F7E53">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Cs w:val="20"/>
          <w:lang w:eastAsia="fr-FR"/>
        </w:rPr>
      </w:pPr>
    </w:p>
    <w:p w14:paraId="08091575" w14:textId="77777777" w:rsidR="004F7E53" w:rsidRPr="006215F9" w:rsidRDefault="004F7E53" w:rsidP="004F7E53">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Cs w:val="20"/>
          <w:lang w:eastAsia="fr-FR"/>
        </w:rPr>
      </w:pPr>
    </w:p>
    <w:p w14:paraId="5F88EDC3" w14:textId="77777777" w:rsidR="00ED2EE9" w:rsidRDefault="00ED2EE9" w:rsidP="004F7E53">
      <w:pPr>
        <w:spacing w:after="0" w:line="240" w:lineRule="auto"/>
        <w:jc w:val="center"/>
        <w:rPr>
          <w:rFonts w:ascii="Arial" w:eastAsia="Times New Roman" w:hAnsi="Arial" w:cs="Arial"/>
          <w:b/>
          <w:bCs/>
          <w:szCs w:val="20"/>
          <w:lang w:eastAsia="fr-FR"/>
        </w:rPr>
      </w:pPr>
    </w:p>
    <w:p w14:paraId="23163DE3" w14:textId="77777777" w:rsidR="00ED2EE9" w:rsidRDefault="00ED2EE9" w:rsidP="00ED2EE9">
      <w:pPr>
        <w:spacing w:after="0" w:line="240" w:lineRule="auto"/>
        <w:jc w:val="both"/>
        <w:rPr>
          <w:rFonts w:ascii="Arial" w:eastAsia="Times New Roman" w:hAnsi="Arial" w:cs="Arial"/>
          <w:b/>
          <w:bCs/>
          <w:szCs w:val="20"/>
          <w:lang w:eastAsia="fr-FR"/>
        </w:rPr>
      </w:pPr>
      <w:r>
        <w:rPr>
          <w:rFonts w:ascii="Arial" w:eastAsia="Times New Roman" w:hAnsi="Arial" w:cs="Arial"/>
          <w:b/>
          <w:bCs/>
          <w:szCs w:val="20"/>
          <w:lang w:eastAsia="fr-FR"/>
        </w:rPr>
        <w:t>Pour rappel, l</w:t>
      </w:r>
      <w:r w:rsidRPr="00ED2EE9">
        <w:rPr>
          <w:rFonts w:ascii="Arial" w:eastAsia="Times New Roman" w:hAnsi="Arial" w:cs="Arial"/>
          <w:b/>
          <w:bCs/>
          <w:szCs w:val="20"/>
          <w:lang w:eastAsia="fr-FR"/>
        </w:rPr>
        <w:t xml:space="preserve">es critères retenus pour le jugement des offres sont pondérés de la manière suivante </w:t>
      </w:r>
      <w:r>
        <w:rPr>
          <w:rFonts w:ascii="Arial" w:eastAsia="Times New Roman" w:hAnsi="Arial" w:cs="Arial"/>
          <w:b/>
          <w:bCs/>
          <w:szCs w:val="20"/>
          <w:lang w:eastAsia="fr-FR"/>
        </w:rPr>
        <w:t>(cf. article 7 du RC) :</w:t>
      </w:r>
    </w:p>
    <w:p w14:paraId="27510475" w14:textId="77777777" w:rsidR="00ED2EE9" w:rsidRPr="00ED2EE9" w:rsidRDefault="00ED2EE9" w:rsidP="00ED2EE9">
      <w:pPr>
        <w:spacing w:after="0" w:line="240" w:lineRule="auto"/>
        <w:jc w:val="both"/>
        <w:rPr>
          <w:rFonts w:ascii="Arial" w:eastAsia="Times New Roman" w:hAnsi="Arial" w:cs="Arial"/>
          <w:b/>
          <w:bCs/>
          <w:szCs w:val="20"/>
          <w:lang w:eastAsia="fr-FR"/>
        </w:rPr>
      </w:pPr>
    </w:p>
    <w:tbl>
      <w:tblPr>
        <w:tblW w:w="0" w:type="auto"/>
        <w:tblLayout w:type="fixed"/>
        <w:tblLook w:val="04A0" w:firstRow="1" w:lastRow="0" w:firstColumn="1" w:lastColumn="0" w:noHBand="0" w:noVBand="1"/>
      </w:tblPr>
      <w:tblGrid>
        <w:gridCol w:w="7800"/>
        <w:gridCol w:w="1800"/>
      </w:tblGrid>
      <w:tr w:rsidR="00ED2EE9" w14:paraId="186D686C" w14:textId="77777777" w:rsidTr="00024E96">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24D1EB" w14:textId="77777777" w:rsidR="00ED2EE9" w:rsidRDefault="00ED2EE9" w:rsidP="00024E96">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1962746" w14:textId="77777777" w:rsidR="00ED2EE9" w:rsidRDefault="00ED2EE9" w:rsidP="00024E96">
            <w:pPr>
              <w:spacing w:before="40"/>
              <w:jc w:val="center"/>
              <w:rPr>
                <w:rFonts w:ascii="Trebuchet MS" w:eastAsia="Trebuchet MS" w:hAnsi="Trebuchet MS" w:cs="Trebuchet MS"/>
                <w:color w:val="000000"/>
                <w:sz w:val="20"/>
              </w:rPr>
            </w:pPr>
            <w:r>
              <w:rPr>
                <w:rFonts w:ascii="Trebuchet MS" w:eastAsia="Trebuchet MS" w:hAnsi="Trebuchet MS" w:cs="Trebuchet MS"/>
                <w:color w:val="000000"/>
                <w:sz w:val="20"/>
              </w:rPr>
              <w:t>Pondération</w:t>
            </w:r>
          </w:p>
        </w:tc>
      </w:tr>
      <w:tr w:rsidR="00ED2EE9" w14:paraId="071D98FF" w14:textId="77777777" w:rsidTr="00024E96">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BAF5B"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311C5"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40.0 %</w:t>
            </w:r>
          </w:p>
        </w:tc>
      </w:tr>
      <w:tr w:rsidR="00ED2EE9" w14:paraId="533EDBB2" w14:textId="77777777" w:rsidTr="00024E96">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32DBB"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2-Pertinence des moyens humains et matériels affectés à l’exécution du marché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7E1029"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20.0 %</w:t>
            </w:r>
          </w:p>
        </w:tc>
      </w:tr>
      <w:tr w:rsidR="00ED2EE9" w14:paraId="77705859" w14:textId="77777777" w:rsidTr="00024E96">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F1D99"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3-Organisation et gestion mises en œuvre pour la réalisation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F3992"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35.0 %</w:t>
            </w:r>
          </w:p>
        </w:tc>
      </w:tr>
      <w:tr w:rsidR="00ED2EE9" w14:paraId="3B5A7F69" w14:textId="77777777" w:rsidTr="00024E96">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FA4505"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4-Performances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AB68" w14:textId="77777777" w:rsidR="00ED2EE9" w:rsidRDefault="00ED2EE9" w:rsidP="00024E96">
            <w:pPr>
              <w:spacing w:before="80" w:after="20"/>
              <w:ind w:left="80" w:right="80"/>
              <w:rPr>
                <w:rFonts w:ascii="Trebuchet MS" w:eastAsia="Trebuchet MS" w:hAnsi="Trebuchet MS" w:cs="Trebuchet MS"/>
                <w:color w:val="000000"/>
                <w:sz w:val="20"/>
              </w:rPr>
            </w:pPr>
            <w:r>
              <w:rPr>
                <w:rFonts w:ascii="Trebuchet MS" w:eastAsia="Trebuchet MS" w:hAnsi="Trebuchet MS" w:cs="Trebuchet MS"/>
                <w:color w:val="000000"/>
                <w:sz w:val="20"/>
              </w:rPr>
              <w:t>5.0 %</w:t>
            </w:r>
          </w:p>
        </w:tc>
      </w:tr>
    </w:tbl>
    <w:p w14:paraId="19D6B5B0" w14:textId="77777777" w:rsidR="00ED2EE9" w:rsidRPr="006215F9" w:rsidRDefault="00ED2EE9" w:rsidP="00ED2EE9">
      <w:pPr>
        <w:spacing w:after="0" w:line="240" w:lineRule="auto"/>
        <w:jc w:val="both"/>
        <w:rPr>
          <w:rFonts w:ascii="Arial" w:eastAsia="Times New Roman" w:hAnsi="Arial" w:cs="Arial"/>
          <w:b/>
          <w:bCs/>
          <w:szCs w:val="20"/>
          <w:lang w:eastAsia="fr-FR"/>
        </w:rPr>
      </w:pPr>
    </w:p>
    <w:p w14:paraId="5D04F2E8" w14:textId="77777777" w:rsidR="00DC7FD8" w:rsidRPr="00E712BC" w:rsidRDefault="004F7E53" w:rsidP="00DC7FD8">
      <w:pPr>
        <w:spacing w:after="0" w:line="240" w:lineRule="auto"/>
        <w:ind w:left="-142" w:right="-710"/>
        <w:rPr>
          <w:rFonts w:ascii="Arial" w:hAnsi="Arial" w:cs="Arial"/>
          <w:b/>
        </w:rPr>
      </w:pPr>
      <w:r w:rsidRPr="004F7E53">
        <w:rPr>
          <w:rFonts w:ascii="Arial" w:eastAsia="Times New Roman" w:hAnsi="Arial" w:cs="Arial"/>
          <w:b/>
          <w:bCs/>
          <w:szCs w:val="20"/>
          <w:lang w:eastAsia="fr-FR"/>
        </w:rPr>
        <w:br w:type="page"/>
      </w:r>
      <w:bookmarkStart w:id="1" w:name="_Hlk63670825"/>
      <w:r w:rsidR="00EB1E99" w:rsidRPr="00D30B63">
        <w:rPr>
          <w:rFonts w:ascii="Arial" w:hAnsi="Arial" w:cs="Arial"/>
          <w:sz w:val="24"/>
          <w:szCs w:val="24"/>
        </w:rPr>
        <w:lastRenderedPageBreak/>
        <w:t> </w:t>
      </w:r>
      <w:bookmarkEnd w:id="1"/>
    </w:p>
    <w:p w14:paraId="124DE4F2" w14:textId="1C1F8AE3" w:rsidR="00B733F2" w:rsidRDefault="00114C1B">
      <w:pPr>
        <w:pStyle w:val="TM1"/>
        <w:tabs>
          <w:tab w:val="left" w:pos="440"/>
          <w:tab w:val="right" w:leader="dot" w:pos="11046"/>
        </w:tabs>
        <w:rPr>
          <w:rFonts w:asciiTheme="minorHAnsi" w:eastAsiaTheme="minorEastAsia" w:hAnsiTheme="minorHAnsi" w:cstheme="minorBidi"/>
          <w:noProof/>
          <w:kern w:val="2"/>
          <w:sz w:val="24"/>
          <w:szCs w:val="24"/>
          <w:lang w:eastAsia="fr-FR"/>
          <w14:ligatures w14:val="standardContextual"/>
        </w:rPr>
      </w:pPr>
      <w:r>
        <w:rPr>
          <w:rFonts w:ascii="Arial" w:hAnsi="Arial" w:cs="Arial"/>
          <w:sz w:val="24"/>
          <w:szCs w:val="24"/>
        </w:rPr>
        <w:fldChar w:fldCharType="begin"/>
      </w:r>
      <w:r>
        <w:rPr>
          <w:rFonts w:ascii="Arial" w:hAnsi="Arial" w:cs="Arial"/>
          <w:sz w:val="24"/>
          <w:szCs w:val="24"/>
        </w:rPr>
        <w:instrText xml:space="preserve"> TOC \o "1-4" \h \z \u </w:instrText>
      </w:r>
      <w:r>
        <w:rPr>
          <w:rFonts w:ascii="Arial" w:hAnsi="Arial" w:cs="Arial"/>
          <w:sz w:val="24"/>
          <w:szCs w:val="24"/>
        </w:rPr>
        <w:fldChar w:fldCharType="separate"/>
      </w:r>
      <w:hyperlink w:anchor="_Toc223013571" w:history="1">
        <w:r w:rsidR="00B733F2" w:rsidRPr="00EF7375">
          <w:rPr>
            <w:rStyle w:val="Lienhypertexte"/>
            <w:rFonts w:ascii="Arial" w:hAnsi="Arial" w:cs="Arial"/>
            <w:noProof/>
          </w:rPr>
          <w:t>1.</w:t>
        </w:r>
        <w:r w:rsidR="00B733F2">
          <w:rPr>
            <w:rFonts w:asciiTheme="minorHAnsi" w:eastAsiaTheme="minorEastAsia" w:hAnsiTheme="minorHAnsi" w:cstheme="minorBidi"/>
            <w:noProof/>
            <w:kern w:val="2"/>
            <w:sz w:val="24"/>
            <w:szCs w:val="24"/>
            <w:lang w:eastAsia="fr-FR"/>
            <w14:ligatures w14:val="standardContextual"/>
          </w:rPr>
          <w:tab/>
        </w:r>
        <w:r w:rsidR="00B733F2" w:rsidRPr="00EF7375">
          <w:rPr>
            <w:rStyle w:val="Lienhypertexte"/>
            <w:rFonts w:ascii="Arial" w:hAnsi="Arial" w:cs="Arial"/>
            <w:noProof/>
          </w:rPr>
          <w:t>INTERLOCUTEUR(S) REFERENT(S) DEDIE(S) A L’EXECUTION DU MARCHE</w:t>
        </w:r>
        <w:r w:rsidR="00B733F2">
          <w:rPr>
            <w:noProof/>
            <w:webHidden/>
          </w:rPr>
          <w:tab/>
        </w:r>
        <w:r w:rsidR="00B733F2">
          <w:rPr>
            <w:noProof/>
            <w:webHidden/>
          </w:rPr>
          <w:fldChar w:fldCharType="begin"/>
        </w:r>
        <w:r w:rsidR="00B733F2">
          <w:rPr>
            <w:noProof/>
            <w:webHidden/>
          </w:rPr>
          <w:instrText xml:space="preserve"> PAGEREF _Toc223013571 \h </w:instrText>
        </w:r>
        <w:r w:rsidR="00B733F2">
          <w:rPr>
            <w:noProof/>
            <w:webHidden/>
          </w:rPr>
        </w:r>
        <w:r w:rsidR="00B733F2">
          <w:rPr>
            <w:noProof/>
            <w:webHidden/>
          </w:rPr>
          <w:fldChar w:fldCharType="separate"/>
        </w:r>
        <w:r w:rsidR="00B733F2">
          <w:rPr>
            <w:noProof/>
            <w:webHidden/>
          </w:rPr>
          <w:t>1</w:t>
        </w:r>
        <w:r w:rsidR="00B733F2">
          <w:rPr>
            <w:noProof/>
            <w:webHidden/>
          </w:rPr>
          <w:fldChar w:fldCharType="end"/>
        </w:r>
      </w:hyperlink>
    </w:p>
    <w:p w14:paraId="5154CE76" w14:textId="1A857E66" w:rsidR="00B733F2" w:rsidRDefault="00B733F2">
      <w:pPr>
        <w:pStyle w:val="TM1"/>
        <w:tabs>
          <w:tab w:val="left" w:pos="440"/>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2" w:history="1">
        <w:r w:rsidRPr="00EF7375">
          <w:rPr>
            <w:rStyle w:val="Lienhypertexte"/>
            <w:rFonts w:ascii="Arial" w:hAnsi="Arial" w:cs="Arial"/>
            <w:noProof/>
          </w:rPr>
          <w:t>2.</w:t>
        </w:r>
        <w:r>
          <w:rPr>
            <w:rFonts w:asciiTheme="minorHAnsi" w:eastAsiaTheme="minorEastAsia" w:hAnsiTheme="minorHAnsi" w:cstheme="minorBidi"/>
            <w:noProof/>
            <w:kern w:val="2"/>
            <w:sz w:val="24"/>
            <w:szCs w:val="24"/>
            <w:lang w:eastAsia="fr-FR"/>
            <w14:ligatures w14:val="standardContextual"/>
          </w:rPr>
          <w:tab/>
        </w:r>
        <w:r w:rsidRPr="00EF7375">
          <w:rPr>
            <w:rStyle w:val="Lienhypertexte"/>
            <w:rFonts w:ascii="Arial" w:hAnsi="Arial" w:cs="Arial"/>
            <w:noProof/>
          </w:rPr>
          <w:t>OFFRE DU SOUMISSIONNAIRE</w:t>
        </w:r>
        <w:r>
          <w:rPr>
            <w:noProof/>
            <w:webHidden/>
          </w:rPr>
          <w:tab/>
        </w:r>
        <w:r>
          <w:rPr>
            <w:noProof/>
            <w:webHidden/>
          </w:rPr>
          <w:fldChar w:fldCharType="begin"/>
        </w:r>
        <w:r>
          <w:rPr>
            <w:noProof/>
            <w:webHidden/>
          </w:rPr>
          <w:instrText xml:space="preserve"> PAGEREF _Toc223013572 \h </w:instrText>
        </w:r>
        <w:r>
          <w:rPr>
            <w:noProof/>
            <w:webHidden/>
          </w:rPr>
        </w:r>
        <w:r>
          <w:rPr>
            <w:noProof/>
            <w:webHidden/>
          </w:rPr>
          <w:fldChar w:fldCharType="separate"/>
        </w:r>
        <w:r>
          <w:rPr>
            <w:noProof/>
            <w:webHidden/>
          </w:rPr>
          <w:t>4</w:t>
        </w:r>
        <w:r>
          <w:rPr>
            <w:noProof/>
            <w:webHidden/>
          </w:rPr>
          <w:fldChar w:fldCharType="end"/>
        </w:r>
      </w:hyperlink>
    </w:p>
    <w:p w14:paraId="3D8167B3" w14:textId="3DC23D48" w:rsidR="00B733F2" w:rsidRDefault="00B733F2">
      <w:pPr>
        <w:pStyle w:val="TM2"/>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3" w:history="1">
        <w:r w:rsidRPr="00EF7375">
          <w:rPr>
            <w:rStyle w:val="Lienhypertexte"/>
            <w:noProof/>
          </w:rPr>
          <w:t>2.1. Moyens humains et matériels affectés à l'exécution du marché (20%)</w:t>
        </w:r>
        <w:r>
          <w:rPr>
            <w:noProof/>
            <w:webHidden/>
          </w:rPr>
          <w:tab/>
        </w:r>
        <w:r>
          <w:rPr>
            <w:noProof/>
            <w:webHidden/>
          </w:rPr>
          <w:fldChar w:fldCharType="begin"/>
        </w:r>
        <w:r>
          <w:rPr>
            <w:noProof/>
            <w:webHidden/>
          </w:rPr>
          <w:instrText xml:space="preserve"> PAGEREF _Toc223013573 \h </w:instrText>
        </w:r>
        <w:r>
          <w:rPr>
            <w:noProof/>
            <w:webHidden/>
          </w:rPr>
        </w:r>
        <w:r>
          <w:rPr>
            <w:noProof/>
            <w:webHidden/>
          </w:rPr>
          <w:fldChar w:fldCharType="separate"/>
        </w:r>
        <w:r>
          <w:rPr>
            <w:noProof/>
            <w:webHidden/>
          </w:rPr>
          <w:t>4</w:t>
        </w:r>
        <w:r>
          <w:rPr>
            <w:noProof/>
            <w:webHidden/>
          </w:rPr>
          <w:fldChar w:fldCharType="end"/>
        </w:r>
      </w:hyperlink>
    </w:p>
    <w:p w14:paraId="287407E9" w14:textId="71D2CB0E" w:rsidR="00B733F2" w:rsidRDefault="00B733F2">
      <w:pPr>
        <w:pStyle w:val="TM3"/>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4" w:history="1">
        <w:r w:rsidRPr="00EF7375">
          <w:rPr>
            <w:rStyle w:val="Lienhypertexte"/>
            <w:rFonts w:ascii="Arial" w:hAnsi="Arial" w:cs="Arial"/>
            <w:noProof/>
          </w:rPr>
          <w:t>2.1-1. Moyens humains dédiés à l'exécution du marché :</w:t>
        </w:r>
        <w:r>
          <w:rPr>
            <w:noProof/>
            <w:webHidden/>
          </w:rPr>
          <w:tab/>
        </w:r>
        <w:r>
          <w:rPr>
            <w:noProof/>
            <w:webHidden/>
          </w:rPr>
          <w:fldChar w:fldCharType="begin"/>
        </w:r>
        <w:r>
          <w:rPr>
            <w:noProof/>
            <w:webHidden/>
          </w:rPr>
          <w:instrText xml:space="preserve"> PAGEREF _Toc223013574 \h </w:instrText>
        </w:r>
        <w:r>
          <w:rPr>
            <w:noProof/>
            <w:webHidden/>
          </w:rPr>
        </w:r>
        <w:r>
          <w:rPr>
            <w:noProof/>
            <w:webHidden/>
          </w:rPr>
          <w:fldChar w:fldCharType="separate"/>
        </w:r>
        <w:r>
          <w:rPr>
            <w:noProof/>
            <w:webHidden/>
          </w:rPr>
          <w:t>4</w:t>
        </w:r>
        <w:r>
          <w:rPr>
            <w:noProof/>
            <w:webHidden/>
          </w:rPr>
          <w:fldChar w:fldCharType="end"/>
        </w:r>
      </w:hyperlink>
    </w:p>
    <w:p w14:paraId="06602CDF" w14:textId="11EDC685" w:rsidR="00B733F2" w:rsidRDefault="00B733F2">
      <w:pPr>
        <w:pStyle w:val="TM3"/>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5" w:history="1">
        <w:r w:rsidRPr="00EF7375">
          <w:rPr>
            <w:rStyle w:val="Lienhypertexte"/>
            <w:rFonts w:ascii="Arial" w:hAnsi="Arial" w:cs="Arial"/>
            <w:noProof/>
          </w:rPr>
          <w:t>2.1-2. Moyens matériels dédiés à l'exécution du marché :</w:t>
        </w:r>
        <w:r>
          <w:rPr>
            <w:noProof/>
            <w:webHidden/>
          </w:rPr>
          <w:tab/>
        </w:r>
        <w:r>
          <w:rPr>
            <w:noProof/>
            <w:webHidden/>
          </w:rPr>
          <w:fldChar w:fldCharType="begin"/>
        </w:r>
        <w:r>
          <w:rPr>
            <w:noProof/>
            <w:webHidden/>
          </w:rPr>
          <w:instrText xml:space="preserve"> PAGEREF _Toc223013575 \h </w:instrText>
        </w:r>
        <w:r>
          <w:rPr>
            <w:noProof/>
            <w:webHidden/>
          </w:rPr>
        </w:r>
        <w:r>
          <w:rPr>
            <w:noProof/>
            <w:webHidden/>
          </w:rPr>
          <w:fldChar w:fldCharType="separate"/>
        </w:r>
        <w:r>
          <w:rPr>
            <w:noProof/>
            <w:webHidden/>
          </w:rPr>
          <w:t>4</w:t>
        </w:r>
        <w:r>
          <w:rPr>
            <w:noProof/>
            <w:webHidden/>
          </w:rPr>
          <w:fldChar w:fldCharType="end"/>
        </w:r>
      </w:hyperlink>
    </w:p>
    <w:p w14:paraId="32A61578" w14:textId="17F1D23C" w:rsidR="00B733F2" w:rsidRDefault="00B733F2">
      <w:pPr>
        <w:pStyle w:val="TM2"/>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6" w:history="1">
        <w:r w:rsidRPr="00EF7375">
          <w:rPr>
            <w:rStyle w:val="Lienhypertexte"/>
            <w:rFonts w:ascii="Arial" w:hAnsi="Arial" w:cs="Arial"/>
            <w:noProof/>
          </w:rPr>
          <w:t>2.2. Organisation et gestion mises en œuvre pour la réalisation des prestations (35%).</w:t>
        </w:r>
        <w:r>
          <w:rPr>
            <w:noProof/>
            <w:webHidden/>
          </w:rPr>
          <w:tab/>
        </w:r>
        <w:r>
          <w:rPr>
            <w:noProof/>
            <w:webHidden/>
          </w:rPr>
          <w:fldChar w:fldCharType="begin"/>
        </w:r>
        <w:r>
          <w:rPr>
            <w:noProof/>
            <w:webHidden/>
          </w:rPr>
          <w:instrText xml:space="preserve"> PAGEREF _Toc223013576 \h </w:instrText>
        </w:r>
        <w:r>
          <w:rPr>
            <w:noProof/>
            <w:webHidden/>
          </w:rPr>
        </w:r>
        <w:r>
          <w:rPr>
            <w:noProof/>
            <w:webHidden/>
          </w:rPr>
          <w:fldChar w:fldCharType="separate"/>
        </w:r>
        <w:r>
          <w:rPr>
            <w:noProof/>
            <w:webHidden/>
          </w:rPr>
          <w:t>5</w:t>
        </w:r>
        <w:r>
          <w:rPr>
            <w:noProof/>
            <w:webHidden/>
          </w:rPr>
          <w:fldChar w:fldCharType="end"/>
        </w:r>
      </w:hyperlink>
    </w:p>
    <w:p w14:paraId="289267C0" w14:textId="5F65E7A5" w:rsidR="00B733F2" w:rsidRDefault="00B733F2">
      <w:pPr>
        <w:pStyle w:val="TM3"/>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7" w:history="1">
        <w:r w:rsidRPr="00EF7375">
          <w:rPr>
            <w:rStyle w:val="Lienhypertexte"/>
            <w:noProof/>
          </w:rPr>
          <w:t>2.2.1. Organisation des interventions de maintenance préventive :</w:t>
        </w:r>
        <w:r>
          <w:rPr>
            <w:noProof/>
            <w:webHidden/>
          </w:rPr>
          <w:tab/>
        </w:r>
        <w:r>
          <w:rPr>
            <w:noProof/>
            <w:webHidden/>
          </w:rPr>
          <w:fldChar w:fldCharType="begin"/>
        </w:r>
        <w:r>
          <w:rPr>
            <w:noProof/>
            <w:webHidden/>
          </w:rPr>
          <w:instrText xml:space="preserve"> PAGEREF _Toc223013577 \h </w:instrText>
        </w:r>
        <w:r>
          <w:rPr>
            <w:noProof/>
            <w:webHidden/>
          </w:rPr>
        </w:r>
        <w:r>
          <w:rPr>
            <w:noProof/>
            <w:webHidden/>
          </w:rPr>
          <w:fldChar w:fldCharType="separate"/>
        </w:r>
        <w:r>
          <w:rPr>
            <w:noProof/>
            <w:webHidden/>
          </w:rPr>
          <w:t>5</w:t>
        </w:r>
        <w:r>
          <w:rPr>
            <w:noProof/>
            <w:webHidden/>
          </w:rPr>
          <w:fldChar w:fldCharType="end"/>
        </w:r>
      </w:hyperlink>
    </w:p>
    <w:p w14:paraId="13A2EB59" w14:textId="433B38DB" w:rsidR="00B733F2" w:rsidRDefault="00B733F2">
      <w:pPr>
        <w:pStyle w:val="TM3"/>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8" w:history="1">
        <w:r w:rsidRPr="00EF7375">
          <w:rPr>
            <w:rStyle w:val="Lienhypertexte"/>
            <w:rFonts w:ascii="Arial" w:hAnsi="Arial" w:cs="Arial"/>
            <w:noProof/>
          </w:rPr>
          <w:t>2.2-2. Organisation des interventions de maintenance corrective :</w:t>
        </w:r>
        <w:r>
          <w:rPr>
            <w:noProof/>
            <w:webHidden/>
          </w:rPr>
          <w:tab/>
        </w:r>
        <w:r>
          <w:rPr>
            <w:noProof/>
            <w:webHidden/>
          </w:rPr>
          <w:fldChar w:fldCharType="begin"/>
        </w:r>
        <w:r>
          <w:rPr>
            <w:noProof/>
            <w:webHidden/>
          </w:rPr>
          <w:instrText xml:space="preserve"> PAGEREF _Toc223013578 \h </w:instrText>
        </w:r>
        <w:r>
          <w:rPr>
            <w:noProof/>
            <w:webHidden/>
          </w:rPr>
        </w:r>
        <w:r>
          <w:rPr>
            <w:noProof/>
            <w:webHidden/>
          </w:rPr>
          <w:fldChar w:fldCharType="separate"/>
        </w:r>
        <w:r>
          <w:rPr>
            <w:noProof/>
            <w:webHidden/>
          </w:rPr>
          <w:t>5</w:t>
        </w:r>
        <w:r>
          <w:rPr>
            <w:noProof/>
            <w:webHidden/>
          </w:rPr>
          <w:fldChar w:fldCharType="end"/>
        </w:r>
      </w:hyperlink>
    </w:p>
    <w:p w14:paraId="6C2B6A74" w14:textId="42B26D97" w:rsidR="00B733F2" w:rsidRDefault="00B733F2">
      <w:pPr>
        <w:pStyle w:val="TM3"/>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79" w:history="1">
        <w:r w:rsidRPr="00EF7375">
          <w:rPr>
            <w:rStyle w:val="Lienhypertexte"/>
            <w:rFonts w:ascii="Arial" w:hAnsi="Arial" w:cs="Arial"/>
            <w:noProof/>
          </w:rPr>
          <w:t>2.2-3. Organisation et gestion des stocks matériels et pièces détachées :</w:t>
        </w:r>
        <w:r>
          <w:rPr>
            <w:noProof/>
            <w:webHidden/>
          </w:rPr>
          <w:tab/>
        </w:r>
        <w:r>
          <w:rPr>
            <w:noProof/>
            <w:webHidden/>
          </w:rPr>
          <w:fldChar w:fldCharType="begin"/>
        </w:r>
        <w:r>
          <w:rPr>
            <w:noProof/>
            <w:webHidden/>
          </w:rPr>
          <w:instrText xml:space="preserve"> PAGEREF _Toc223013579 \h </w:instrText>
        </w:r>
        <w:r>
          <w:rPr>
            <w:noProof/>
            <w:webHidden/>
          </w:rPr>
        </w:r>
        <w:r>
          <w:rPr>
            <w:noProof/>
            <w:webHidden/>
          </w:rPr>
          <w:fldChar w:fldCharType="separate"/>
        </w:r>
        <w:r>
          <w:rPr>
            <w:noProof/>
            <w:webHidden/>
          </w:rPr>
          <w:t>5</w:t>
        </w:r>
        <w:r>
          <w:rPr>
            <w:noProof/>
            <w:webHidden/>
          </w:rPr>
          <w:fldChar w:fldCharType="end"/>
        </w:r>
      </w:hyperlink>
    </w:p>
    <w:p w14:paraId="589FDC06" w14:textId="17DE2ECB" w:rsidR="00B733F2" w:rsidRDefault="00B733F2">
      <w:pPr>
        <w:pStyle w:val="TM3"/>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80" w:history="1">
        <w:r w:rsidRPr="00EF7375">
          <w:rPr>
            <w:rStyle w:val="Lienhypertexte"/>
            <w:rFonts w:ascii="Arial" w:hAnsi="Arial" w:cs="Arial"/>
            <w:noProof/>
          </w:rPr>
          <w:t>2.2-4. Politique et gestion de la maintenance :</w:t>
        </w:r>
        <w:r>
          <w:rPr>
            <w:noProof/>
            <w:webHidden/>
          </w:rPr>
          <w:tab/>
        </w:r>
        <w:r>
          <w:rPr>
            <w:noProof/>
            <w:webHidden/>
          </w:rPr>
          <w:fldChar w:fldCharType="begin"/>
        </w:r>
        <w:r>
          <w:rPr>
            <w:noProof/>
            <w:webHidden/>
          </w:rPr>
          <w:instrText xml:space="preserve"> PAGEREF _Toc223013580 \h </w:instrText>
        </w:r>
        <w:r>
          <w:rPr>
            <w:noProof/>
            <w:webHidden/>
          </w:rPr>
        </w:r>
        <w:r>
          <w:rPr>
            <w:noProof/>
            <w:webHidden/>
          </w:rPr>
          <w:fldChar w:fldCharType="separate"/>
        </w:r>
        <w:r>
          <w:rPr>
            <w:noProof/>
            <w:webHidden/>
          </w:rPr>
          <w:t>6</w:t>
        </w:r>
        <w:r>
          <w:rPr>
            <w:noProof/>
            <w:webHidden/>
          </w:rPr>
          <w:fldChar w:fldCharType="end"/>
        </w:r>
      </w:hyperlink>
    </w:p>
    <w:p w14:paraId="07C8C400" w14:textId="19AAB45D" w:rsidR="00B733F2" w:rsidRDefault="00B733F2">
      <w:pPr>
        <w:pStyle w:val="TM2"/>
        <w:tabs>
          <w:tab w:val="right" w:leader="dot" w:pos="11046"/>
        </w:tabs>
        <w:rPr>
          <w:rFonts w:asciiTheme="minorHAnsi" w:eastAsiaTheme="minorEastAsia" w:hAnsiTheme="minorHAnsi" w:cstheme="minorBidi"/>
          <w:noProof/>
          <w:kern w:val="2"/>
          <w:sz w:val="24"/>
          <w:szCs w:val="24"/>
          <w:lang w:eastAsia="fr-FR"/>
          <w14:ligatures w14:val="standardContextual"/>
        </w:rPr>
      </w:pPr>
      <w:hyperlink w:anchor="_Toc223013581" w:history="1">
        <w:r w:rsidRPr="00EF7375">
          <w:rPr>
            <w:rStyle w:val="Lienhypertexte"/>
            <w:rFonts w:ascii="Arial" w:hAnsi="Arial" w:cs="Arial"/>
            <w:noProof/>
          </w:rPr>
          <w:t>2.3. Performances en matière de protection de l’environnement (5%)</w:t>
        </w:r>
        <w:r>
          <w:rPr>
            <w:noProof/>
            <w:webHidden/>
          </w:rPr>
          <w:tab/>
        </w:r>
        <w:r>
          <w:rPr>
            <w:noProof/>
            <w:webHidden/>
          </w:rPr>
          <w:fldChar w:fldCharType="begin"/>
        </w:r>
        <w:r>
          <w:rPr>
            <w:noProof/>
            <w:webHidden/>
          </w:rPr>
          <w:instrText xml:space="preserve"> PAGEREF _Toc223013581 \h </w:instrText>
        </w:r>
        <w:r>
          <w:rPr>
            <w:noProof/>
            <w:webHidden/>
          </w:rPr>
        </w:r>
        <w:r>
          <w:rPr>
            <w:noProof/>
            <w:webHidden/>
          </w:rPr>
          <w:fldChar w:fldCharType="separate"/>
        </w:r>
        <w:r>
          <w:rPr>
            <w:noProof/>
            <w:webHidden/>
          </w:rPr>
          <w:t>6</w:t>
        </w:r>
        <w:r>
          <w:rPr>
            <w:noProof/>
            <w:webHidden/>
          </w:rPr>
          <w:fldChar w:fldCharType="end"/>
        </w:r>
      </w:hyperlink>
    </w:p>
    <w:p w14:paraId="55BCA93F" w14:textId="77777777" w:rsidR="003D64E3" w:rsidRDefault="00114C1B" w:rsidP="008E1EEF">
      <w:pPr>
        <w:jc w:val="both"/>
        <w:rPr>
          <w:rFonts w:ascii="Arial" w:hAnsi="Arial" w:cs="Arial"/>
          <w:sz w:val="24"/>
          <w:szCs w:val="24"/>
        </w:rPr>
      </w:pPr>
      <w:r>
        <w:rPr>
          <w:rFonts w:ascii="Arial" w:hAnsi="Arial" w:cs="Arial"/>
          <w:sz w:val="24"/>
          <w:szCs w:val="24"/>
        </w:rPr>
        <w:fldChar w:fldCharType="end"/>
      </w:r>
    </w:p>
    <w:p w14:paraId="41B5BE43" w14:textId="77777777" w:rsidR="003D64E3" w:rsidRDefault="00340F1F" w:rsidP="00057943">
      <w:pPr>
        <w:pStyle w:val="Titre1"/>
        <w:numPr>
          <w:ilvl w:val="0"/>
          <w:numId w:val="4"/>
        </w:numPr>
        <w:rPr>
          <w:rFonts w:ascii="Arial" w:hAnsi="Arial" w:cs="Arial"/>
          <w:sz w:val="24"/>
          <w:szCs w:val="24"/>
        </w:rPr>
      </w:pPr>
      <w:r>
        <w:rPr>
          <w:rFonts w:ascii="Arial" w:hAnsi="Arial" w:cs="Arial"/>
          <w:sz w:val="24"/>
          <w:szCs w:val="24"/>
        </w:rPr>
        <w:br w:type="page"/>
      </w:r>
      <w:bookmarkStart w:id="2" w:name="_Toc223013572"/>
      <w:r w:rsidR="00114C1B" w:rsidRPr="00114C1B">
        <w:rPr>
          <w:rFonts w:ascii="Arial" w:hAnsi="Arial" w:cs="Arial"/>
          <w:sz w:val="24"/>
          <w:szCs w:val="24"/>
        </w:rPr>
        <w:lastRenderedPageBreak/>
        <w:t>OFFRE DU SOUMISSIONNAIRE</w:t>
      </w:r>
      <w:bookmarkEnd w:id="2"/>
    </w:p>
    <w:p w14:paraId="7450EB26" w14:textId="77777777" w:rsidR="00114C1B" w:rsidRDefault="00114C1B" w:rsidP="00114C1B"/>
    <w:p w14:paraId="5F5A16B3" w14:textId="77777777" w:rsidR="00114C1B" w:rsidRPr="00114C1B" w:rsidRDefault="00114C1B" w:rsidP="00114C1B">
      <w:pPr>
        <w:pStyle w:val="Titre2"/>
      </w:pPr>
      <w:bookmarkStart w:id="3" w:name="_Toc223013573"/>
      <w:r>
        <w:t>2.1. Moyens humains et matériels affectés à l'exécution du marché (20%)</w:t>
      </w:r>
      <w:bookmarkEnd w:id="3"/>
    </w:p>
    <w:p w14:paraId="1E25C1A6" w14:textId="77777777" w:rsidR="00114C1B" w:rsidRDefault="00114C1B" w:rsidP="0076761D">
      <w:pPr>
        <w:tabs>
          <w:tab w:val="left" w:pos="1575"/>
          <w:tab w:val="left" w:pos="3210"/>
        </w:tabs>
        <w:spacing w:after="0"/>
        <w:rPr>
          <w:rFonts w:ascii="Arial" w:eastAsia="Times New Roman" w:hAnsi="Arial" w:cs="Arial"/>
          <w:b/>
          <w:iCs/>
          <w:color w:val="17365D"/>
          <w:sz w:val="24"/>
          <w:szCs w:val="20"/>
          <w:u w:val="single"/>
          <w:lang w:eastAsia="fr-FR"/>
        </w:rPr>
      </w:pPr>
    </w:p>
    <w:p w14:paraId="2982B102" w14:textId="77777777" w:rsidR="0014553C" w:rsidRPr="00340F1F" w:rsidRDefault="00114C1B" w:rsidP="00114C1B">
      <w:pPr>
        <w:pStyle w:val="Titre3"/>
        <w:rPr>
          <w:rFonts w:ascii="Arial" w:hAnsi="Arial" w:cs="Arial"/>
          <w:sz w:val="24"/>
          <w:szCs w:val="24"/>
          <w:u w:val="single"/>
        </w:rPr>
      </w:pPr>
      <w:bookmarkStart w:id="4" w:name="_Toc223013574"/>
      <w:r w:rsidRPr="00340F1F">
        <w:rPr>
          <w:rFonts w:ascii="Arial" w:hAnsi="Arial" w:cs="Arial"/>
          <w:sz w:val="24"/>
          <w:szCs w:val="24"/>
          <w:u w:val="single"/>
        </w:rPr>
        <w:t>2.1-1. Moyens humains dédiés à l'exécution du marché :</w:t>
      </w:r>
      <w:bookmarkEnd w:id="4"/>
    </w:p>
    <w:p w14:paraId="15CD59F1" w14:textId="77777777" w:rsidR="00EB1E99" w:rsidRPr="00D30B63" w:rsidRDefault="00EB1E99" w:rsidP="0076761D">
      <w:pPr>
        <w:spacing w:after="0"/>
        <w:rPr>
          <w:rFonts w:ascii="Arial" w:hAnsi="Arial" w:cs="Arial"/>
          <w:iCs/>
          <w:sz w:val="24"/>
          <w:szCs w:val="24"/>
        </w:rPr>
      </w:pPr>
    </w:p>
    <w:p w14:paraId="02003F95" w14:textId="77777777" w:rsidR="00EB1E99" w:rsidRPr="00114C1B" w:rsidRDefault="00EB1E99" w:rsidP="001E54BB">
      <w:pPr>
        <w:jc w:val="both"/>
        <w:rPr>
          <w:rFonts w:ascii="Arial" w:hAnsi="Arial" w:cs="Arial"/>
          <w:i/>
          <w:iCs/>
          <w:sz w:val="24"/>
          <w:szCs w:val="24"/>
        </w:rPr>
      </w:pPr>
      <w:r w:rsidRPr="00114C1B">
        <w:rPr>
          <w:rFonts w:ascii="Arial" w:hAnsi="Arial" w:cs="Arial"/>
          <w:i/>
          <w:iCs/>
          <w:sz w:val="24"/>
          <w:szCs w:val="24"/>
        </w:rPr>
        <w:t>Fournir tous les documents permettant l’appréciation des moyens humains affectés à l’exécution du marché et en particulier :</w:t>
      </w:r>
    </w:p>
    <w:p w14:paraId="5E93E01D" w14:textId="77777777" w:rsidR="00EB1E99" w:rsidRPr="00114C1B" w:rsidRDefault="00700C62" w:rsidP="001E54BB">
      <w:pPr>
        <w:numPr>
          <w:ilvl w:val="0"/>
          <w:numId w:val="2"/>
        </w:numPr>
        <w:jc w:val="both"/>
        <w:rPr>
          <w:rFonts w:ascii="Arial" w:hAnsi="Arial" w:cs="Arial"/>
          <w:i/>
          <w:iCs/>
          <w:sz w:val="24"/>
          <w:szCs w:val="24"/>
        </w:rPr>
      </w:pPr>
      <w:r w:rsidRPr="00700C62">
        <w:rPr>
          <w:rFonts w:ascii="Arial" w:hAnsi="Arial" w:cs="Arial"/>
          <w:i/>
          <w:iCs/>
          <w:sz w:val="24"/>
          <w:szCs w:val="24"/>
        </w:rPr>
        <w:t>La description de l’organisation des moyens humains mobilisés pour l’exécution des prestations de maintenance préventive et corrective, précisant les effectifs dédiés, la répartition des rôles et responsabilités, ainsi que, le cas échéant, l’identification des référents techniques et opérationnels.</w:t>
      </w:r>
    </w:p>
    <w:p w14:paraId="6A09A016" w14:textId="77777777" w:rsidR="00700C62" w:rsidRPr="00700C62" w:rsidRDefault="00700C62" w:rsidP="00700C62">
      <w:pPr>
        <w:numPr>
          <w:ilvl w:val="0"/>
          <w:numId w:val="2"/>
        </w:numPr>
        <w:jc w:val="both"/>
        <w:rPr>
          <w:rFonts w:ascii="Arial" w:hAnsi="Arial" w:cs="Arial"/>
          <w:i/>
          <w:iCs/>
          <w:sz w:val="24"/>
          <w:szCs w:val="24"/>
        </w:rPr>
      </w:pPr>
      <w:r w:rsidRPr="00700C62">
        <w:rPr>
          <w:rFonts w:ascii="Arial" w:hAnsi="Arial" w:cs="Arial"/>
          <w:i/>
          <w:iCs/>
          <w:sz w:val="24"/>
          <w:szCs w:val="24"/>
        </w:rPr>
        <w:t>La présentation des profils des techniciens susceptibles d’intervenir dans le cadre du marché, incluant pour chacun d’eux les niveaux de qualification, l’expérience professionnelle et les compétences techniques en lien avec les prestations objet du marché.</w:t>
      </w:r>
    </w:p>
    <w:p w14:paraId="0E4F5DE3" w14:textId="77777777" w:rsidR="006368A9" w:rsidRPr="006368A9" w:rsidRDefault="00700C62" w:rsidP="006368A9">
      <w:pPr>
        <w:ind w:left="720"/>
        <w:jc w:val="both"/>
        <w:rPr>
          <w:rFonts w:ascii="Arial" w:hAnsi="Arial" w:cs="Arial"/>
          <w:i/>
          <w:iCs/>
          <w:sz w:val="24"/>
          <w:szCs w:val="24"/>
        </w:rPr>
      </w:pPr>
      <w:r w:rsidRPr="00700C62">
        <w:rPr>
          <w:rFonts w:ascii="Arial" w:hAnsi="Arial" w:cs="Arial"/>
          <w:i/>
          <w:iCs/>
          <w:sz w:val="24"/>
          <w:szCs w:val="24"/>
        </w:rPr>
        <w:t xml:space="preserve">Cette présentation pourra prendre la forme de curriculums vitæ anonymisés </w:t>
      </w:r>
    </w:p>
    <w:p w14:paraId="15D1848A" w14:textId="77777777" w:rsidR="00EB1E99" w:rsidRPr="008438D6" w:rsidRDefault="008438D6" w:rsidP="008438D6">
      <w:pPr>
        <w:numPr>
          <w:ilvl w:val="0"/>
          <w:numId w:val="2"/>
        </w:numPr>
        <w:rPr>
          <w:rFonts w:ascii="Arial" w:hAnsi="Arial" w:cs="Arial"/>
          <w:i/>
          <w:iCs/>
          <w:sz w:val="24"/>
          <w:szCs w:val="24"/>
        </w:rPr>
      </w:pPr>
      <w:r w:rsidRPr="008438D6">
        <w:rPr>
          <w:rFonts w:ascii="Arial" w:hAnsi="Arial" w:cs="Arial"/>
          <w:i/>
          <w:iCs/>
          <w:sz w:val="24"/>
          <w:szCs w:val="24"/>
        </w:rPr>
        <w:t>Les attestations relatives aux habilitations électriques de chaque intervenant ainsi que les certificats de formation de recyclage suivant les exigences réglementaires définie dans de la norme NF C 18-510 avec le nom du technicien, le niveau d’habilitation et la date de validité.</w:t>
      </w:r>
    </w:p>
    <w:p w14:paraId="21D66904" w14:textId="77777777" w:rsidR="008438D6" w:rsidRPr="008438D6" w:rsidRDefault="008438D6" w:rsidP="008438D6">
      <w:pPr>
        <w:numPr>
          <w:ilvl w:val="0"/>
          <w:numId w:val="2"/>
        </w:numPr>
        <w:rPr>
          <w:rFonts w:ascii="Arial" w:hAnsi="Arial" w:cs="Arial"/>
          <w:i/>
          <w:iCs/>
          <w:sz w:val="24"/>
          <w:szCs w:val="24"/>
        </w:rPr>
      </w:pPr>
      <w:r w:rsidRPr="008438D6">
        <w:rPr>
          <w:rFonts w:ascii="Arial" w:hAnsi="Arial" w:cs="Arial"/>
          <w:i/>
          <w:iCs/>
          <w:sz w:val="24"/>
          <w:szCs w:val="24"/>
        </w:rPr>
        <w:t>Les certificats de formation de chaque technicien intervenant, attestant de leur capacité et connaissances pour effectuer les opérations de maintenance préventive et corrective intégrant le remplacement des pièces de rechange, sur l’ensemble des équipements concernés par le présent marché</w:t>
      </w:r>
    </w:p>
    <w:p w14:paraId="398791D9" w14:textId="77777777" w:rsidR="00EB1E99" w:rsidRPr="00114C1B" w:rsidRDefault="00EB1E99" w:rsidP="008438D6">
      <w:pPr>
        <w:ind w:left="720"/>
        <w:jc w:val="both"/>
        <w:rPr>
          <w:rFonts w:ascii="Arial" w:hAnsi="Arial" w:cs="Arial"/>
          <w:i/>
          <w:iCs/>
          <w:sz w:val="24"/>
          <w:szCs w:val="24"/>
        </w:rPr>
      </w:pPr>
    </w:p>
    <w:p w14:paraId="20F3120B" w14:textId="77777777" w:rsidR="008E1EEF" w:rsidRDefault="008E1EEF" w:rsidP="0076761D">
      <w:pPr>
        <w:spacing w:after="0"/>
        <w:rPr>
          <w:rFonts w:ascii="Arial" w:hAnsi="Arial" w:cs="Arial"/>
          <w:b/>
          <w:sz w:val="24"/>
          <w:szCs w:val="24"/>
          <w:u w:val="single"/>
        </w:rPr>
      </w:pPr>
      <w:bookmarkStart w:id="5" w:name="_Toc32072127"/>
    </w:p>
    <w:p w14:paraId="2807EC2A" w14:textId="77777777" w:rsidR="00114C1B" w:rsidRPr="00E712BC" w:rsidRDefault="00340F1F" w:rsidP="00114C1B">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379736916" w:edGrp="everyone"/>
      <w:r>
        <w:rPr>
          <w:rFonts w:ascii="Arial" w:hAnsi="Arial" w:cs="Arial"/>
          <w:color w:val="000000"/>
        </w:rPr>
        <w:t>………..</w:t>
      </w:r>
    </w:p>
    <w:permEnd w:id="379736916"/>
    <w:p w14:paraId="52FBDBA0" w14:textId="77777777" w:rsidR="003D64E3" w:rsidRDefault="003D64E3" w:rsidP="0076761D">
      <w:pPr>
        <w:spacing w:after="0"/>
        <w:rPr>
          <w:rFonts w:ascii="Arial" w:hAnsi="Arial" w:cs="Arial"/>
          <w:b/>
          <w:sz w:val="24"/>
          <w:szCs w:val="24"/>
          <w:u w:val="single"/>
        </w:rPr>
      </w:pPr>
    </w:p>
    <w:p w14:paraId="23257732" w14:textId="77777777" w:rsidR="008E1EEF" w:rsidRPr="00340F1F" w:rsidRDefault="00114C1B" w:rsidP="00114C1B">
      <w:pPr>
        <w:pStyle w:val="Titre3"/>
        <w:rPr>
          <w:rFonts w:ascii="Arial" w:hAnsi="Arial" w:cs="Arial"/>
          <w:bCs w:val="0"/>
          <w:sz w:val="24"/>
          <w:szCs w:val="24"/>
          <w:u w:val="single"/>
        </w:rPr>
      </w:pPr>
      <w:bookmarkStart w:id="6" w:name="_Toc223013575"/>
      <w:r w:rsidRPr="00340F1F">
        <w:rPr>
          <w:rFonts w:ascii="Arial" w:hAnsi="Arial" w:cs="Arial"/>
          <w:bCs w:val="0"/>
          <w:sz w:val="24"/>
          <w:szCs w:val="24"/>
          <w:u w:val="single"/>
        </w:rPr>
        <w:t>2.1-2. Moyens matériels dédiés à l'exécution du marché :</w:t>
      </w:r>
      <w:bookmarkEnd w:id="6"/>
    </w:p>
    <w:bookmarkEnd w:id="5"/>
    <w:p w14:paraId="6F5A8C7B" w14:textId="77777777" w:rsidR="00057943" w:rsidRDefault="00057943" w:rsidP="00C74BB0">
      <w:pPr>
        <w:rPr>
          <w:rFonts w:ascii="Arial" w:hAnsi="Arial" w:cs="Arial"/>
          <w:i/>
          <w:iCs/>
          <w:sz w:val="24"/>
          <w:szCs w:val="24"/>
        </w:rPr>
      </w:pPr>
    </w:p>
    <w:p w14:paraId="7FCC4A48" w14:textId="77777777" w:rsidR="00C74BB0" w:rsidRPr="00114C1B" w:rsidRDefault="00C74BB0" w:rsidP="00C74BB0">
      <w:pPr>
        <w:rPr>
          <w:rFonts w:ascii="Arial" w:hAnsi="Arial" w:cs="Arial"/>
          <w:i/>
          <w:iCs/>
          <w:sz w:val="24"/>
          <w:szCs w:val="24"/>
        </w:rPr>
      </w:pPr>
      <w:r w:rsidRPr="00114C1B">
        <w:rPr>
          <w:rFonts w:ascii="Arial" w:hAnsi="Arial" w:cs="Arial"/>
          <w:i/>
          <w:iCs/>
          <w:sz w:val="24"/>
          <w:szCs w:val="24"/>
        </w:rPr>
        <w:t>Fournir tous les éléments descriptifs permettant l’appréciation des outils techniques et des moyens matériels utilisés pour la réalisation de l’ensemble des opérations de maintenance préventive et corrective définies dans le présent marché :</w:t>
      </w:r>
    </w:p>
    <w:p w14:paraId="5B4AB93F" w14:textId="77777777" w:rsidR="00C74BB0" w:rsidRPr="00114C1B" w:rsidRDefault="00C74BB0" w:rsidP="00C74BB0">
      <w:pPr>
        <w:numPr>
          <w:ilvl w:val="0"/>
          <w:numId w:val="2"/>
        </w:numPr>
        <w:rPr>
          <w:rFonts w:ascii="Arial" w:hAnsi="Arial" w:cs="Arial"/>
          <w:i/>
          <w:iCs/>
          <w:sz w:val="24"/>
          <w:szCs w:val="24"/>
        </w:rPr>
      </w:pPr>
      <w:r w:rsidRPr="00114C1B">
        <w:rPr>
          <w:rFonts w:ascii="Arial" w:hAnsi="Arial" w:cs="Arial"/>
          <w:i/>
          <w:iCs/>
          <w:sz w:val="24"/>
          <w:szCs w:val="24"/>
        </w:rPr>
        <w:t>Les fiches techniques des outils et appareils de mesures utilisés.</w:t>
      </w:r>
    </w:p>
    <w:p w14:paraId="5CB180EC" w14:textId="77777777" w:rsidR="00C74BB0" w:rsidRPr="00114C1B" w:rsidRDefault="00C74BB0" w:rsidP="00C74BB0">
      <w:pPr>
        <w:numPr>
          <w:ilvl w:val="0"/>
          <w:numId w:val="2"/>
        </w:numPr>
        <w:rPr>
          <w:rFonts w:ascii="Arial" w:hAnsi="Arial" w:cs="Arial"/>
          <w:i/>
          <w:iCs/>
          <w:sz w:val="24"/>
          <w:szCs w:val="24"/>
        </w:rPr>
      </w:pPr>
      <w:r w:rsidRPr="00114C1B">
        <w:rPr>
          <w:rFonts w:ascii="Arial" w:hAnsi="Arial" w:cs="Arial"/>
          <w:i/>
          <w:iCs/>
          <w:sz w:val="24"/>
          <w:szCs w:val="24"/>
        </w:rPr>
        <w:t>Les fiches techniques des éléments batteries proposés dans le cadre du remplacement et de l’achat.</w:t>
      </w:r>
    </w:p>
    <w:p w14:paraId="20ABD22D" w14:textId="77777777" w:rsidR="00C74BB0" w:rsidRPr="00114C1B" w:rsidRDefault="00C74BB0" w:rsidP="00C74BB0">
      <w:pPr>
        <w:numPr>
          <w:ilvl w:val="0"/>
          <w:numId w:val="2"/>
        </w:numPr>
        <w:rPr>
          <w:rFonts w:ascii="Arial" w:hAnsi="Arial" w:cs="Arial"/>
          <w:i/>
          <w:iCs/>
          <w:sz w:val="24"/>
          <w:szCs w:val="24"/>
        </w:rPr>
      </w:pPr>
      <w:r w:rsidRPr="00114C1B">
        <w:rPr>
          <w:rFonts w:ascii="Arial" w:hAnsi="Arial" w:cs="Arial"/>
          <w:i/>
          <w:iCs/>
          <w:sz w:val="24"/>
          <w:szCs w:val="24"/>
        </w:rPr>
        <w:t>Les fiches techniques de chacun des onduleurs proposés en fourniture mentionnés au BPU, ainsi que leur durée de garantie.</w:t>
      </w:r>
    </w:p>
    <w:p w14:paraId="7AAAC629" w14:textId="77777777" w:rsidR="00114C1B" w:rsidRDefault="00114C1B" w:rsidP="00114C1B">
      <w:pPr>
        <w:spacing w:after="0"/>
        <w:rPr>
          <w:rFonts w:ascii="Arial" w:hAnsi="Arial" w:cs="Arial"/>
          <w:b/>
          <w:sz w:val="24"/>
          <w:szCs w:val="24"/>
          <w:u w:val="single"/>
        </w:rPr>
      </w:pPr>
    </w:p>
    <w:p w14:paraId="04810D7B" w14:textId="77777777" w:rsidR="00114C1B" w:rsidRPr="00E712BC" w:rsidRDefault="00340F1F" w:rsidP="00114C1B">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951889949" w:edGrp="everyone"/>
      <w:r>
        <w:rPr>
          <w:rFonts w:ascii="Arial" w:hAnsi="Arial" w:cs="Arial"/>
          <w:color w:val="000000"/>
        </w:rPr>
        <w:t>………..</w:t>
      </w:r>
    </w:p>
    <w:permEnd w:id="1951889949"/>
    <w:p w14:paraId="65EEE174" w14:textId="77777777" w:rsidR="00114C1B" w:rsidRDefault="00114C1B" w:rsidP="00114C1B">
      <w:pPr>
        <w:spacing w:after="0"/>
        <w:rPr>
          <w:rFonts w:ascii="Arial" w:hAnsi="Arial" w:cs="Arial"/>
          <w:b/>
          <w:sz w:val="24"/>
          <w:szCs w:val="24"/>
          <w:u w:val="single"/>
        </w:rPr>
      </w:pPr>
    </w:p>
    <w:p w14:paraId="184BFAB5" w14:textId="77777777" w:rsidR="00114C1B" w:rsidRPr="00114C1B" w:rsidRDefault="00114C1B" w:rsidP="00114C1B">
      <w:pPr>
        <w:spacing w:after="0"/>
        <w:rPr>
          <w:rFonts w:ascii="Arial" w:hAnsi="Arial" w:cs="Arial"/>
          <w:sz w:val="24"/>
          <w:szCs w:val="24"/>
        </w:rPr>
      </w:pPr>
    </w:p>
    <w:p w14:paraId="35DDA3E2" w14:textId="77777777" w:rsidR="00B712B0" w:rsidRDefault="00114C1B" w:rsidP="00114C1B">
      <w:pPr>
        <w:pStyle w:val="Titre2"/>
        <w:rPr>
          <w:rFonts w:ascii="Arial" w:hAnsi="Arial" w:cs="Arial"/>
          <w:sz w:val="24"/>
          <w:szCs w:val="24"/>
        </w:rPr>
      </w:pPr>
      <w:bookmarkStart w:id="7" w:name="_Toc223013576"/>
      <w:r>
        <w:rPr>
          <w:rFonts w:ascii="Arial" w:hAnsi="Arial" w:cs="Arial"/>
          <w:sz w:val="24"/>
          <w:szCs w:val="24"/>
        </w:rPr>
        <w:t xml:space="preserve">2.2. </w:t>
      </w:r>
      <w:r w:rsidRPr="00114C1B">
        <w:rPr>
          <w:rFonts w:ascii="Arial" w:hAnsi="Arial" w:cs="Arial"/>
          <w:sz w:val="24"/>
          <w:szCs w:val="24"/>
        </w:rPr>
        <w:t>Organisation et gestion mises en œuvre pour la réalisation des prestations</w:t>
      </w:r>
      <w:r>
        <w:rPr>
          <w:rFonts w:ascii="Arial" w:hAnsi="Arial" w:cs="Arial"/>
          <w:sz w:val="24"/>
          <w:szCs w:val="24"/>
        </w:rPr>
        <w:t xml:space="preserve"> (35%)</w:t>
      </w:r>
      <w:r w:rsidRPr="00114C1B">
        <w:rPr>
          <w:rFonts w:ascii="Arial" w:hAnsi="Arial" w:cs="Arial"/>
          <w:sz w:val="24"/>
          <w:szCs w:val="24"/>
        </w:rPr>
        <w:t>.</w:t>
      </w:r>
      <w:bookmarkEnd w:id="7"/>
    </w:p>
    <w:p w14:paraId="12E4DC70" w14:textId="77777777" w:rsidR="008E1EEF" w:rsidRPr="00340F1F" w:rsidRDefault="00114C1B" w:rsidP="00340F1F">
      <w:pPr>
        <w:pStyle w:val="Titre3"/>
        <w:rPr>
          <w:u w:val="single"/>
        </w:rPr>
      </w:pPr>
      <w:bookmarkStart w:id="8" w:name="_Toc223013577"/>
      <w:r w:rsidRPr="00340F1F">
        <w:rPr>
          <w:u w:val="single"/>
        </w:rPr>
        <w:t>2.2.1. Organisation des interventions de maintenance préventive :</w:t>
      </w:r>
      <w:bookmarkEnd w:id="8"/>
    </w:p>
    <w:p w14:paraId="70E9652A" w14:textId="77777777" w:rsidR="00340F1F" w:rsidRPr="00340F1F" w:rsidRDefault="00340F1F" w:rsidP="00340F1F"/>
    <w:p w14:paraId="44DAEA1A" w14:textId="77777777" w:rsidR="00EB1E99" w:rsidRPr="00340F1F" w:rsidRDefault="00EB1E99" w:rsidP="00EB1E99">
      <w:pPr>
        <w:rPr>
          <w:rFonts w:ascii="Arial" w:hAnsi="Arial" w:cs="Arial"/>
          <w:i/>
          <w:iCs/>
          <w:sz w:val="24"/>
          <w:szCs w:val="24"/>
        </w:rPr>
      </w:pPr>
      <w:r w:rsidRPr="00340F1F">
        <w:rPr>
          <w:rFonts w:ascii="Arial" w:hAnsi="Arial" w:cs="Arial"/>
          <w:i/>
          <w:iCs/>
          <w:sz w:val="24"/>
          <w:szCs w:val="24"/>
        </w:rPr>
        <w:t>Fournir tous les documents descriptifs permettant l’appréciation de l’organisation des interventions de maintenance préventive définies dans le présent marché et en particulier :</w:t>
      </w:r>
    </w:p>
    <w:p w14:paraId="1D53CC60" w14:textId="77777777" w:rsidR="00EB1E99" w:rsidRPr="00340F1F" w:rsidRDefault="00EB1E99" w:rsidP="00EB1E99">
      <w:pPr>
        <w:numPr>
          <w:ilvl w:val="0"/>
          <w:numId w:val="2"/>
        </w:numPr>
        <w:rPr>
          <w:rFonts w:ascii="Arial" w:hAnsi="Arial" w:cs="Arial"/>
          <w:i/>
          <w:iCs/>
          <w:sz w:val="24"/>
          <w:szCs w:val="24"/>
        </w:rPr>
      </w:pPr>
      <w:r w:rsidRPr="00340F1F">
        <w:rPr>
          <w:rFonts w:ascii="Arial" w:hAnsi="Arial" w:cs="Arial"/>
          <w:i/>
          <w:iCs/>
          <w:sz w:val="24"/>
          <w:szCs w:val="24"/>
        </w:rPr>
        <w:t>La méthodologie et les procédures mises en œuvre pour réaliser les opérations de maintenance préventive.</w:t>
      </w:r>
    </w:p>
    <w:p w14:paraId="32D44C0D" w14:textId="77777777" w:rsidR="00EB1E99" w:rsidRPr="00340F1F" w:rsidRDefault="00EB1E99" w:rsidP="00EB1E99">
      <w:pPr>
        <w:numPr>
          <w:ilvl w:val="0"/>
          <w:numId w:val="2"/>
        </w:numPr>
        <w:rPr>
          <w:rFonts w:ascii="Arial" w:hAnsi="Arial" w:cs="Arial"/>
          <w:i/>
          <w:iCs/>
          <w:sz w:val="24"/>
          <w:szCs w:val="24"/>
        </w:rPr>
      </w:pPr>
      <w:r w:rsidRPr="00340F1F">
        <w:rPr>
          <w:rFonts w:ascii="Arial" w:hAnsi="Arial" w:cs="Arial"/>
          <w:i/>
          <w:iCs/>
          <w:sz w:val="24"/>
          <w:szCs w:val="24"/>
        </w:rPr>
        <w:t>Les gammes de maintenance utilisées pour les opérations de maintenance préventive de chaque type d’équipements avec l’indication du temps moyen requis pour la réalisation de chacune des opérations.</w:t>
      </w:r>
    </w:p>
    <w:p w14:paraId="15766C03" w14:textId="77777777" w:rsidR="00EB1E99" w:rsidRPr="00340F1F" w:rsidRDefault="00EB1E99" w:rsidP="00EB1E99">
      <w:pPr>
        <w:numPr>
          <w:ilvl w:val="0"/>
          <w:numId w:val="2"/>
        </w:numPr>
        <w:rPr>
          <w:rFonts w:ascii="Arial" w:hAnsi="Arial" w:cs="Arial"/>
          <w:i/>
          <w:iCs/>
          <w:sz w:val="24"/>
          <w:szCs w:val="24"/>
        </w:rPr>
      </w:pPr>
      <w:r w:rsidRPr="00340F1F">
        <w:rPr>
          <w:rFonts w:ascii="Arial" w:hAnsi="Arial" w:cs="Arial"/>
          <w:i/>
          <w:iCs/>
          <w:sz w:val="24"/>
          <w:szCs w:val="24"/>
        </w:rPr>
        <w:t>La proposition de planning annuel pour la réalisation des prestations de maintenance préventive de chaque établissement avec l’estimation du temps passé par équipement.</w:t>
      </w:r>
    </w:p>
    <w:p w14:paraId="7B1A6808" w14:textId="77777777" w:rsidR="008E1EEF" w:rsidRDefault="008E1EEF" w:rsidP="00B712B0">
      <w:pPr>
        <w:spacing w:after="0"/>
        <w:rPr>
          <w:rFonts w:ascii="Arial" w:hAnsi="Arial" w:cs="Arial"/>
          <w:sz w:val="24"/>
          <w:szCs w:val="24"/>
        </w:rPr>
      </w:pPr>
    </w:p>
    <w:p w14:paraId="3F15FCE8" w14:textId="77777777" w:rsidR="00340F1F" w:rsidRDefault="00340F1F" w:rsidP="00340F1F">
      <w:pPr>
        <w:spacing w:after="0"/>
        <w:rPr>
          <w:rFonts w:ascii="Arial" w:hAnsi="Arial" w:cs="Arial"/>
          <w:b/>
          <w:sz w:val="24"/>
          <w:szCs w:val="24"/>
          <w:u w:val="single"/>
        </w:rPr>
      </w:pPr>
    </w:p>
    <w:p w14:paraId="49942FD1" w14:textId="77777777" w:rsidR="00340F1F" w:rsidRPr="00E712BC" w:rsidRDefault="00340F1F" w:rsidP="00340F1F">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972716978" w:edGrp="everyone"/>
      <w:r>
        <w:rPr>
          <w:rFonts w:ascii="Arial" w:hAnsi="Arial" w:cs="Arial"/>
          <w:color w:val="000000"/>
        </w:rPr>
        <w:t>………..</w:t>
      </w:r>
    </w:p>
    <w:permEnd w:id="972716978"/>
    <w:p w14:paraId="54FB2F1B" w14:textId="77777777" w:rsidR="00340F1F" w:rsidRDefault="00340F1F" w:rsidP="00340F1F">
      <w:pPr>
        <w:spacing w:after="0"/>
        <w:rPr>
          <w:rFonts w:ascii="Arial" w:hAnsi="Arial" w:cs="Arial"/>
          <w:b/>
          <w:sz w:val="24"/>
          <w:szCs w:val="24"/>
          <w:u w:val="single"/>
        </w:rPr>
      </w:pPr>
    </w:p>
    <w:p w14:paraId="434AF1E7" w14:textId="77777777" w:rsidR="00340F1F" w:rsidRPr="00340F1F" w:rsidRDefault="00340F1F" w:rsidP="00340F1F">
      <w:pPr>
        <w:pStyle w:val="Titre3"/>
        <w:rPr>
          <w:rFonts w:ascii="Arial" w:hAnsi="Arial" w:cs="Arial"/>
          <w:sz w:val="24"/>
          <w:szCs w:val="24"/>
          <w:u w:val="single"/>
        </w:rPr>
      </w:pPr>
      <w:bookmarkStart w:id="9" w:name="_Toc223013578"/>
      <w:r w:rsidRPr="00340F1F">
        <w:rPr>
          <w:rFonts w:ascii="Arial" w:hAnsi="Arial" w:cs="Arial"/>
          <w:sz w:val="24"/>
          <w:szCs w:val="24"/>
          <w:u w:val="single"/>
        </w:rPr>
        <w:t>2.2-2. Organisation des interventions de maintenance corrective :</w:t>
      </w:r>
      <w:bookmarkEnd w:id="9"/>
    </w:p>
    <w:p w14:paraId="2D2F159E" w14:textId="77777777" w:rsidR="008E1EEF" w:rsidRPr="00D30B63" w:rsidRDefault="008E1EEF" w:rsidP="00B712B0">
      <w:pPr>
        <w:spacing w:after="0"/>
        <w:rPr>
          <w:rFonts w:ascii="Arial" w:hAnsi="Arial" w:cs="Arial"/>
          <w:sz w:val="24"/>
          <w:szCs w:val="24"/>
        </w:rPr>
      </w:pPr>
    </w:p>
    <w:p w14:paraId="025D1B0E" w14:textId="77777777" w:rsidR="00EB1E99" w:rsidRPr="00340F1F" w:rsidRDefault="00EB1E99" w:rsidP="00EB1E99">
      <w:pPr>
        <w:rPr>
          <w:rFonts w:ascii="Arial" w:hAnsi="Arial" w:cs="Arial"/>
          <w:i/>
          <w:iCs/>
          <w:sz w:val="24"/>
          <w:szCs w:val="24"/>
        </w:rPr>
      </w:pPr>
      <w:r w:rsidRPr="00340F1F">
        <w:rPr>
          <w:rFonts w:ascii="Arial" w:hAnsi="Arial" w:cs="Arial"/>
          <w:i/>
          <w:iCs/>
          <w:sz w:val="24"/>
          <w:szCs w:val="24"/>
        </w:rPr>
        <w:t>Fournir tous les documents descriptifs permettant l’appréciation de l’organisation des interventions de maintenance corrective définies dans le présent marché et en particulier :</w:t>
      </w:r>
    </w:p>
    <w:p w14:paraId="48E39498" w14:textId="77777777" w:rsidR="00EB1E99" w:rsidRPr="00340F1F" w:rsidRDefault="00EB1E99" w:rsidP="00EB1E99">
      <w:pPr>
        <w:numPr>
          <w:ilvl w:val="0"/>
          <w:numId w:val="2"/>
        </w:numPr>
        <w:rPr>
          <w:rFonts w:ascii="Arial" w:hAnsi="Arial" w:cs="Arial"/>
          <w:i/>
          <w:iCs/>
          <w:sz w:val="24"/>
          <w:szCs w:val="24"/>
        </w:rPr>
      </w:pPr>
      <w:r w:rsidRPr="00340F1F">
        <w:rPr>
          <w:rFonts w:ascii="Arial" w:hAnsi="Arial" w:cs="Arial"/>
          <w:i/>
          <w:iCs/>
          <w:sz w:val="24"/>
          <w:szCs w:val="24"/>
        </w:rPr>
        <w:t>Les modalités de traitement des demandes de dépannage.</w:t>
      </w:r>
    </w:p>
    <w:p w14:paraId="5DC86103" w14:textId="77777777" w:rsidR="00EB1E99" w:rsidRPr="00340F1F" w:rsidRDefault="00EB1E99" w:rsidP="00EB1E99">
      <w:pPr>
        <w:numPr>
          <w:ilvl w:val="0"/>
          <w:numId w:val="2"/>
        </w:numPr>
        <w:rPr>
          <w:rFonts w:ascii="Arial" w:hAnsi="Arial" w:cs="Arial"/>
          <w:i/>
          <w:iCs/>
          <w:sz w:val="24"/>
          <w:szCs w:val="24"/>
        </w:rPr>
      </w:pPr>
      <w:r w:rsidRPr="00340F1F">
        <w:rPr>
          <w:rFonts w:ascii="Arial" w:hAnsi="Arial" w:cs="Arial"/>
          <w:i/>
          <w:iCs/>
          <w:sz w:val="24"/>
          <w:szCs w:val="24"/>
        </w:rPr>
        <w:t>L’organisation et les moyens mis en œuvre pour assurer la continuité et la sécurité électrique des installations.</w:t>
      </w:r>
    </w:p>
    <w:p w14:paraId="6B3EA01B" w14:textId="77777777" w:rsidR="00EB1E99" w:rsidRPr="00340F1F" w:rsidRDefault="00EB1E99" w:rsidP="00EB1E99">
      <w:pPr>
        <w:numPr>
          <w:ilvl w:val="0"/>
          <w:numId w:val="2"/>
        </w:numPr>
        <w:rPr>
          <w:rFonts w:ascii="Arial" w:hAnsi="Arial" w:cs="Arial"/>
          <w:i/>
          <w:iCs/>
          <w:sz w:val="24"/>
          <w:szCs w:val="24"/>
        </w:rPr>
      </w:pPr>
      <w:r w:rsidRPr="00340F1F">
        <w:rPr>
          <w:rFonts w:ascii="Arial" w:hAnsi="Arial" w:cs="Arial"/>
          <w:i/>
          <w:iCs/>
          <w:sz w:val="24"/>
          <w:szCs w:val="24"/>
        </w:rPr>
        <w:t xml:space="preserve">La proposition de planning annuel d’une astreinte intégrant les exigences de chaque </w:t>
      </w:r>
      <w:r w:rsidR="001E54BB" w:rsidRPr="00340F1F">
        <w:rPr>
          <w:rFonts w:ascii="Arial" w:hAnsi="Arial" w:cs="Arial"/>
          <w:i/>
          <w:iCs/>
          <w:sz w:val="24"/>
          <w:szCs w:val="24"/>
        </w:rPr>
        <w:t>site</w:t>
      </w:r>
      <w:r w:rsidRPr="00340F1F">
        <w:rPr>
          <w:rFonts w:ascii="Arial" w:hAnsi="Arial" w:cs="Arial"/>
          <w:i/>
          <w:iCs/>
          <w:sz w:val="24"/>
          <w:szCs w:val="24"/>
        </w:rPr>
        <w:t xml:space="preserve"> avec une description nominative des techniciens intervenants ainsi que leurs niveaux de qualifications.</w:t>
      </w:r>
    </w:p>
    <w:p w14:paraId="5C911ADA" w14:textId="77777777" w:rsidR="008E1EEF" w:rsidRDefault="008E1EEF" w:rsidP="00B712B0">
      <w:pPr>
        <w:spacing w:after="0"/>
        <w:rPr>
          <w:rFonts w:ascii="Arial" w:hAnsi="Arial" w:cs="Arial"/>
          <w:sz w:val="24"/>
          <w:szCs w:val="24"/>
        </w:rPr>
      </w:pPr>
    </w:p>
    <w:p w14:paraId="45BFFE87" w14:textId="77777777" w:rsidR="00340F1F" w:rsidRDefault="00340F1F" w:rsidP="00340F1F">
      <w:pPr>
        <w:spacing w:after="0"/>
        <w:rPr>
          <w:rFonts w:ascii="Arial" w:hAnsi="Arial" w:cs="Arial"/>
          <w:b/>
          <w:sz w:val="24"/>
          <w:szCs w:val="24"/>
          <w:u w:val="single"/>
        </w:rPr>
      </w:pPr>
    </w:p>
    <w:p w14:paraId="71945902" w14:textId="77777777" w:rsidR="00340F1F" w:rsidRPr="00E712BC" w:rsidRDefault="00340F1F" w:rsidP="00340F1F">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771725556" w:edGrp="everyone"/>
      <w:r>
        <w:rPr>
          <w:rFonts w:ascii="Arial" w:hAnsi="Arial" w:cs="Arial"/>
          <w:color w:val="000000"/>
        </w:rPr>
        <w:t>………..</w:t>
      </w:r>
    </w:p>
    <w:permEnd w:id="1771725556"/>
    <w:p w14:paraId="63278501" w14:textId="77777777" w:rsidR="00340F1F" w:rsidRPr="00340F1F" w:rsidRDefault="00340F1F" w:rsidP="00340F1F"/>
    <w:p w14:paraId="7E266B20" w14:textId="77777777" w:rsidR="00340F1F" w:rsidRPr="00340F1F" w:rsidRDefault="00340F1F" w:rsidP="00340F1F">
      <w:pPr>
        <w:pStyle w:val="Titre3"/>
        <w:rPr>
          <w:rFonts w:ascii="Arial" w:hAnsi="Arial" w:cs="Arial"/>
          <w:sz w:val="24"/>
          <w:szCs w:val="24"/>
          <w:u w:val="single"/>
        </w:rPr>
      </w:pPr>
      <w:bookmarkStart w:id="10" w:name="_Toc223013579"/>
      <w:r w:rsidRPr="00340F1F">
        <w:rPr>
          <w:rFonts w:ascii="Arial" w:hAnsi="Arial" w:cs="Arial"/>
          <w:sz w:val="24"/>
          <w:szCs w:val="24"/>
          <w:u w:val="single"/>
        </w:rPr>
        <w:t>2.2-3. Organisation et gestion des stocks matériels et pièces détachées :</w:t>
      </w:r>
      <w:bookmarkEnd w:id="10"/>
    </w:p>
    <w:p w14:paraId="22E89CD1" w14:textId="77777777" w:rsidR="00057943" w:rsidRDefault="00057943" w:rsidP="00C74BB0">
      <w:pPr>
        <w:jc w:val="both"/>
        <w:rPr>
          <w:rFonts w:ascii="Arial" w:hAnsi="Arial" w:cs="Arial"/>
          <w:i/>
          <w:iCs/>
          <w:sz w:val="24"/>
          <w:szCs w:val="24"/>
        </w:rPr>
      </w:pPr>
    </w:p>
    <w:p w14:paraId="50D4D0DF" w14:textId="77777777" w:rsidR="00C74BB0" w:rsidRPr="00340F1F" w:rsidRDefault="00C74BB0" w:rsidP="00C74BB0">
      <w:pPr>
        <w:jc w:val="both"/>
        <w:rPr>
          <w:rFonts w:ascii="Arial" w:hAnsi="Arial" w:cs="Arial"/>
          <w:i/>
          <w:iCs/>
          <w:sz w:val="24"/>
          <w:szCs w:val="24"/>
        </w:rPr>
      </w:pPr>
      <w:r w:rsidRPr="00340F1F">
        <w:rPr>
          <w:rFonts w:ascii="Arial" w:hAnsi="Arial" w:cs="Arial"/>
          <w:i/>
          <w:iCs/>
          <w:sz w:val="24"/>
          <w:szCs w:val="24"/>
        </w:rPr>
        <w:t>Faire une note méthodologique en développant les points suivants et fournir tous les éléments descriptifs :</w:t>
      </w:r>
    </w:p>
    <w:p w14:paraId="0F5DD7C7" w14:textId="77777777" w:rsidR="00C74BB0" w:rsidRPr="00340F1F" w:rsidRDefault="00C74BB0" w:rsidP="00C74BB0">
      <w:pPr>
        <w:numPr>
          <w:ilvl w:val="0"/>
          <w:numId w:val="2"/>
        </w:numPr>
        <w:jc w:val="both"/>
        <w:rPr>
          <w:rFonts w:ascii="Arial" w:hAnsi="Arial" w:cs="Arial"/>
          <w:i/>
          <w:iCs/>
          <w:sz w:val="24"/>
          <w:szCs w:val="24"/>
        </w:rPr>
      </w:pPr>
      <w:r w:rsidRPr="00340F1F">
        <w:rPr>
          <w:rFonts w:ascii="Arial" w:hAnsi="Arial" w:cs="Arial"/>
          <w:i/>
          <w:iCs/>
          <w:sz w:val="24"/>
          <w:szCs w:val="24"/>
        </w:rPr>
        <w:t>Solutions mises en œuvre pour assurer la disponibilité des pièces de rechanges et des équipements complets sur chaque type de matériel concerné par le présent CCTP afin de réduire les délais d’indisponibilité et satisfaire aux exigences de l’obligation de résultat.</w:t>
      </w:r>
    </w:p>
    <w:p w14:paraId="1E2B9BD3" w14:textId="77777777" w:rsidR="00C74BB0" w:rsidRPr="00340F1F" w:rsidRDefault="00C74BB0" w:rsidP="00C74BB0">
      <w:pPr>
        <w:numPr>
          <w:ilvl w:val="0"/>
          <w:numId w:val="2"/>
        </w:numPr>
        <w:jc w:val="both"/>
        <w:rPr>
          <w:rFonts w:ascii="Arial" w:hAnsi="Arial" w:cs="Arial"/>
          <w:i/>
          <w:iCs/>
          <w:sz w:val="24"/>
          <w:szCs w:val="24"/>
        </w:rPr>
      </w:pPr>
      <w:r w:rsidRPr="00340F1F">
        <w:rPr>
          <w:rFonts w:ascii="Arial" w:hAnsi="Arial" w:cs="Arial"/>
          <w:i/>
          <w:iCs/>
          <w:sz w:val="24"/>
          <w:szCs w:val="24"/>
        </w:rPr>
        <w:t>Listing du stock de sécurité détaillant les pièces de rechange mises à disposition pour garantir les délais de remise en service.</w:t>
      </w:r>
    </w:p>
    <w:p w14:paraId="0A05BFC7" w14:textId="77777777" w:rsidR="00C111A8" w:rsidRDefault="0036133A" w:rsidP="00340F1F">
      <w:pPr>
        <w:numPr>
          <w:ilvl w:val="0"/>
          <w:numId w:val="2"/>
        </w:numPr>
        <w:jc w:val="both"/>
        <w:rPr>
          <w:rFonts w:ascii="Arial" w:hAnsi="Arial" w:cs="Arial"/>
          <w:i/>
          <w:iCs/>
          <w:sz w:val="24"/>
          <w:szCs w:val="24"/>
        </w:rPr>
      </w:pPr>
      <w:r w:rsidRPr="00340F1F">
        <w:rPr>
          <w:rFonts w:ascii="Arial" w:hAnsi="Arial" w:cs="Arial"/>
          <w:i/>
          <w:iCs/>
          <w:sz w:val="24"/>
          <w:szCs w:val="24"/>
        </w:rPr>
        <w:lastRenderedPageBreak/>
        <w:t>L</w:t>
      </w:r>
      <w:r w:rsidR="00C74BB0" w:rsidRPr="00340F1F">
        <w:rPr>
          <w:rFonts w:ascii="Arial" w:hAnsi="Arial" w:cs="Arial"/>
          <w:i/>
          <w:iCs/>
          <w:sz w:val="24"/>
          <w:szCs w:val="24"/>
        </w:rPr>
        <w:t>e volume de ses stocks de batteries ainsi que le lieu géographique d’entreposage et certifiera le stockage dans la plage de température préconisée par le constructeur.</w:t>
      </w:r>
    </w:p>
    <w:p w14:paraId="199AEBC5" w14:textId="77777777" w:rsidR="00340F1F" w:rsidRDefault="00340F1F" w:rsidP="00340F1F">
      <w:pPr>
        <w:jc w:val="both"/>
        <w:rPr>
          <w:rFonts w:ascii="Arial" w:hAnsi="Arial" w:cs="Arial"/>
          <w:i/>
          <w:iCs/>
          <w:sz w:val="24"/>
          <w:szCs w:val="24"/>
        </w:rPr>
      </w:pPr>
    </w:p>
    <w:p w14:paraId="67539A10" w14:textId="77777777" w:rsidR="00340F1F" w:rsidRDefault="00340F1F" w:rsidP="00340F1F">
      <w:pPr>
        <w:spacing w:after="0"/>
        <w:rPr>
          <w:rFonts w:ascii="Arial" w:hAnsi="Arial" w:cs="Arial"/>
          <w:b/>
          <w:sz w:val="24"/>
          <w:szCs w:val="24"/>
          <w:u w:val="single"/>
        </w:rPr>
      </w:pPr>
    </w:p>
    <w:p w14:paraId="0D4A4C2E" w14:textId="77777777" w:rsidR="00340F1F" w:rsidRPr="00E712BC" w:rsidRDefault="00340F1F" w:rsidP="00340F1F">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285874607" w:edGrp="everyone"/>
      <w:r>
        <w:rPr>
          <w:rFonts w:ascii="Arial" w:hAnsi="Arial" w:cs="Arial"/>
          <w:color w:val="000000"/>
        </w:rPr>
        <w:t>………..</w:t>
      </w:r>
    </w:p>
    <w:permEnd w:id="285874607"/>
    <w:p w14:paraId="7659378E" w14:textId="77777777" w:rsidR="00340F1F" w:rsidRPr="00340F1F" w:rsidRDefault="00340F1F" w:rsidP="00340F1F">
      <w:pPr>
        <w:jc w:val="both"/>
        <w:rPr>
          <w:rFonts w:ascii="Arial" w:hAnsi="Arial" w:cs="Arial"/>
          <w:i/>
          <w:iCs/>
          <w:sz w:val="24"/>
          <w:szCs w:val="24"/>
        </w:rPr>
      </w:pPr>
    </w:p>
    <w:p w14:paraId="57B5414A" w14:textId="77777777" w:rsidR="003D64E3" w:rsidRPr="00340F1F" w:rsidRDefault="00340F1F" w:rsidP="00340F1F">
      <w:pPr>
        <w:pStyle w:val="Titre3"/>
        <w:rPr>
          <w:rFonts w:ascii="Arial" w:hAnsi="Arial" w:cs="Arial"/>
          <w:sz w:val="24"/>
          <w:szCs w:val="24"/>
          <w:u w:val="single"/>
        </w:rPr>
      </w:pPr>
      <w:bookmarkStart w:id="11" w:name="_Toc223013580"/>
      <w:r w:rsidRPr="00340F1F">
        <w:rPr>
          <w:rFonts w:ascii="Arial" w:hAnsi="Arial" w:cs="Arial"/>
          <w:sz w:val="24"/>
          <w:szCs w:val="24"/>
          <w:u w:val="single"/>
        </w:rPr>
        <w:t>2.2-4. Politique et gestion de la maintenance :</w:t>
      </w:r>
      <w:bookmarkEnd w:id="11"/>
    </w:p>
    <w:p w14:paraId="5F9693B7" w14:textId="77777777" w:rsidR="00B712B0" w:rsidRDefault="00B712B0" w:rsidP="00B712B0">
      <w:pPr>
        <w:spacing w:after="0"/>
        <w:rPr>
          <w:rFonts w:ascii="Arial" w:hAnsi="Arial" w:cs="Arial"/>
          <w:b/>
          <w:sz w:val="24"/>
          <w:szCs w:val="24"/>
          <w:u w:val="single"/>
        </w:rPr>
      </w:pPr>
      <w:bookmarkStart w:id="12" w:name="_Toc32072133"/>
    </w:p>
    <w:bookmarkEnd w:id="12"/>
    <w:p w14:paraId="2EADB989" w14:textId="77777777" w:rsidR="00C74BB0" w:rsidRPr="00340F1F" w:rsidRDefault="00C74BB0" w:rsidP="00C74BB0">
      <w:pPr>
        <w:rPr>
          <w:rFonts w:ascii="Arial" w:hAnsi="Arial" w:cs="Arial"/>
          <w:i/>
          <w:iCs/>
          <w:sz w:val="24"/>
          <w:szCs w:val="24"/>
        </w:rPr>
      </w:pPr>
      <w:r w:rsidRPr="00340F1F">
        <w:rPr>
          <w:rFonts w:ascii="Arial" w:hAnsi="Arial" w:cs="Arial"/>
          <w:i/>
          <w:iCs/>
          <w:sz w:val="24"/>
          <w:szCs w:val="24"/>
        </w:rPr>
        <w:t>Fournir tous les documents descriptifs permettant l’appréciation de la politique et de la gestion de la maintenance menée par le candidat pour répondre aux exigences du marché et en particulier :</w:t>
      </w:r>
    </w:p>
    <w:p w14:paraId="59B37F61" w14:textId="77777777" w:rsidR="00C74BB0" w:rsidRPr="00340F1F" w:rsidRDefault="00C74BB0" w:rsidP="00C74BB0">
      <w:pPr>
        <w:numPr>
          <w:ilvl w:val="0"/>
          <w:numId w:val="2"/>
        </w:numPr>
        <w:rPr>
          <w:rFonts w:ascii="Arial" w:hAnsi="Arial" w:cs="Arial"/>
          <w:i/>
          <w:iCs/>
          <w:sz w:val="24"/>
          <w:szCs w:val="24"/>
        </w:rPr>
      </w:pPr>
      <w:r w:rsidRPr="00340F1F">
        <w:rPr>
          <w:rFonts w:ascii="Arial" w:hAnsi="Arial" w:cs="Arial"/>
          <w:i/>
          <w:iCs/>
          <w:sz w:val="24"/>
          <w:szCs w:val="24"/>
        </w:rPr>
        <w:t>Procédures de sécurité</w:t>
      </w:r>
    </w:p>
    <w:p w14:paraId="562A986F" w14:textId="77777777" w:rsidR="00C74BB0" w:rsidRPr="00340F1F" w:rsidRDefault="00C74BB0" w:rsidP="00C74BB0">
      <w:pPr>
        <w:numPr>
          <w:ilvl w:val="0"/>
          <w:numId w:val="2"/>
        </w:numPr>
        <w:rPr>
          <w:rFonts w:ascii="Arial" w:hAnsi="Arial" w:cs="Arial"/>
          <w:i/>
          <w:iCs/>
          <w:sz w:val="24"/>
          <w:szCs w:val="24"/>
        </w:rPr>
      </w:pPr>
      <w:r w:rsidRPr="00340F1F">
        <w:rPr>
          <w:rFonts w:ascii="Arial" w:hAnsi="Arial" w:cs="Arial"/>
          <w:i/>
          <w:iCs/>
          <w:sz w:val="24"/>
          <w:szCs w:val="24"/>
        </w:rPr>
        <w:t>Dispositifs et démarche d’autocontrôle</w:t>
      </w:r>
    </w:p>
    <w:p w14:paraId="3B26BF41" w14:textId="77777777" w:rsidR="00C74BB0" w:rsidRPr="00340F1F" w:rsidRDefault="00C74BB0" w:rsidP="00C74BB0">
      <w:pPr>
        <w:numPr>
          <w:ilvl w:val="0"/>
          <w:numId w:val="2"/>
        </w:numPr>
        <w:rPr>
          <w:rFonts w:ascii="Arial" w:hAnsi="Arial" w:cs="Arial"/>
          <w:i/>
          <w:iCs/>
          <w:sz w:val="24"/>
          <w:szCs w:val="24"/>
        </w:rPr>
      </w:pPr>
      <w:r w:rsidRPr="00340F1F">
        <w:rPr>
          <w:rFonts w:ascii="Arial" w:hAnsi="Arial" w:cs="Arial"/>
          <w:i/>
          <w:iCs/>
          <w:sz w:val="24"/>
          <w:szCs w:val="24"/>
        </w:rPr>
        <w:t>Description du service de télémaintenance</w:t>
      </w:r>
    </w:p>
    <w:p w14:paraId="5883EDCA" w14:textId="77777777" w:rsidR="00C74BB0" w:rsidRPr="00340F1F" w:rsidRDefault="00C74BB0" w:rsidP="00C74BB0">
      <w:pPr>
        <w:numPr>
          <w:ilvl w:val="0"/>
          <w:numId w:val="2"/>
        </w:numPr>
        <w:rPr>
          <w:rFonts w:ascii="Arial" w:hAnsi="Arial" w:cs="Arial"/>
          <w:i/>
          <w:iCs/>
          <w:sz w:val="24"/>
          <w:szCs w:val="24"/>
        </w:rPr>
      </w:pPr>
      <w:r w:rsidRPr="00340F1F">
        <w:rPr>
          <w:rFonts w:ascii="Arial" w:hAnsi="Arial" w:cs="Arial"/>
          <w:i/>
          <w:iCs/>
          <w:sz w:val="24"/>
          <w:szCs w:val="24"/>
        </w:rPr>
        <w:t xml:space="preserve">Organisation documentaires associés aux prestations </w:t>
      </w:r>
    </w:p>
    <w:p w14:paraId="58463BAB" w14:textId="77777777" w:rsidR="003D64E3" w:rsidRPr="00340F1F" w:rsidRDefault="00C74BB0" w:rsidP="00340F1F">
      <w:pPr>
        <w:numPr>
          <w:ilvl w:val="0"/>
          <w:numId w:val="2"/>
        </w:numPr>
        <w:rPr>
          <w:rFonts w:ascii="Arial" w:hAnsi="Arial" w:cs="Arial"/>
          <w:i/>
          <w:iCs/>
          <w:sz w:val="24"/>
          <w:szCs w:val="24"/>
        </w:rPr>
      </w:pPr>
      <w:r w:rsidRPr="00340F1F">
        <w:rPr>
          <w:rFonts w:ascii="Arial" w:hAnsi="Arial" w:cs="Arial"/>
          <w:i/>
          <w:iCs/>
          <w:sz w:val="24"/>
          <w:szCs w:val="24"/>
        </w:rPr>
        <w:t>Programme et actions mises en place pour la formation professionnelle</w:t>
      </w:r>
      <w:bookmarkStart w:id="13" w:name="_Toc32072134"/>
    </w:p>
    <w:p w14:paraId="196BEE6F" w14:textId="77777777" w:rsidR="003D64E3" w:rsidRDefault="003D64E3" w:rsidP="00B712B0">
      <w:pPr>
        <w:spacing w:after="0"/>
        <w:rPr>
          <w:rFonts w:ascii="Arial" w:hAnsi="Arial" w:cs="Arial"/>
          <w:b/>
          <w:iCs/>
          <w:sz w:val="24"/>
          <w:szCs w:val="24"/>
          <w:u w:val="single"/>
        </w:rPr>
      </w:pPr>
    </w:p>
    <w:p w14:paraId="5CA6CD99" w14:textId="77777777" w:rsidR="00340F1F" w:rsidRDefault="00340F1F" w:rsidP="00340F1F">
      <w:pPr>
        <w:spacing w:after="0"/>
        <w:rPr>
          <w:rFonts w:ascii="Arial" w:hAnsi="Arial" w:cs="Arial"/>
          <w:b/>
          <w:sz w:val="24"/>
          <w:szCs w:val="24"/>
          <w:u w:val="single"/>
        </w:rPr>
      </w:pPr>
    </w:p>
    <w:p w14:paraId="062A460B" w14:textId="77777777" w:rsidR="00340F1F" w:rsidRPr="00E712BC" w:rsidRDefault="00340F1F" w:rsidP="00340F1F">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595617699" w:edGrp="everyone"/>
      <w:r>
        <w:rPr>
          <w:rFonts w:ascii="Arial" w:hAnsi="Arial" w:cs="Arial"/>
          <w:color w:val="000000"/>
        </w:rPr>
        <w:t>………..</w:t>
      </w:r>
    </w:p>
    <w:permEnd w:id="595617699"/>
    <w:p w14:paraId="1ECDD736" w14:textId="77777777" w:rsidR="00B712B0" w:rsidRDefault="00B712B0" w:rsidP="00B712B0">
      <w:pPr>
        <w:spacing w:after="0"/>
        <w:rPr>
          <w:rFonts w:ascii="Arial" w:hAnsi="Arial" w:cs="Arial"/>
          <w:sz w:val="24"/>
          <w:szCs w:val="24"/>
        </w:rPr>
      </w:pPr>
    </w:p>
    <w:p w14:paraId="59C5E378" w14:textId="77777777" w:rsidR="00EB1E99" w:rsidRPr="00D30B63" w:rsidRDefault="00340F1F" w:rsidP="00340F1F">
      <w:pPr>
        <w:pStyle w:val="Titre2"/>
        <w:rPr>
          <w:rFonts w:ascii="Arial" w:hAnsi="Arial" w:cs="Arial"/>
          <w:iCs w:val="0"/>
          <w:sz w:val="24"/>
          <w:szCs w:val="24"/>
        </w:rPr>
      </w:pPr>
      <w:bookmarkStart w:id="14" w:name="_Toc223013581"/>
      <w:bookmarkEnd w:id="13"/>
      <w:r>
        <w:rPr>
          <w:rFonts w:ascii="Arial" w:hAnsi="Arial" w:cs="Arial"/>
          <w:sz w:val="24"/>
          <w:szCs w:val="24"/>
        </w:rPr>
        <w:t xml:space="preserve">2.3. </w:t>
      </w:r>
      <w:r w:rsidRPr="00340F1F">
        <w:rPr>
          <w:rFonts w:ascii="Arial" w:hAnsi="Arial" w:cs="Arial"/>
          <w:sz w:val="24"/>
          <w:szCs w:val="24"/>
        </w:rPr>
        <w:t>Performances en matière de protection de l’environnement</w:t>
      </w:r>
      <w:r>
        <w:rPr>
          <w:rFonts w:ascii="Arial" w:hAnsi="Arial" w:cs="Arial"/>
          <w:iCs w:val="0"/>
          <w:sz w:val="24"/>
          <w:szCs w:val="24"/>
        </w:rPr>
        <w:t xml:space="preserve"> (5%)</w:t>
      </w:r>
      <w:bookmarkEnd w:id="14"/>
    </w:p>
    <w:p w14:paraId="17B45CEB" w14:textId="77777777" w:rsidR="009507FF" w:rsidRDefault="009507FF" w:rsidP="00340F1F">
      <w:pPr>
        <w:jc w:val="both"/>
        <w:rPr>
          <w:rFonts w:ascii="Arial" w:hAnsi="Arial" w:cs="Arial"/>
          <w:i/>
          <w:iCs/>
          <w:sz w:val="24"/>
          <w:szCs w:val="24"/>
        </w:rPr>
      </w:pPr>
    </w:p>
    <w:p w14:paraId="7D5D738A" w14:textId="77777777" w:rsidR="00EB1E99" w:rsidRPr="00340F1F" w:rsidRDefault="00C74BB0" w:rsidP="00340F1F">
      <w:pPr>
        <w:jc w:val="both"/>
        <w:rPr>
          <w:rFonts w:ascii="Arial" w:hAnsi="Arial" w:cs="Arial"/>
          <w:i/>
          <w:iCs/>
          <w:sz w:val="24"/>
          <w:szCs w:val="24"/>
        </w:rPr>
      </w:pPr>
      <w:r w:rsidRPr="00340F1F">
        <w:rPr>
          <w:rFonts w:ascii="Arial" w:hAnsi="Arial" w:cs="Arial"/>
          <w:i/>
          <w:iCs/>
          <w:sz w:val="24"/>
          <w:szCs w:val="24"/>
        </w:rPr>
        <w:t>Présentation du Schéma d'Organisation de la Gestion et de l'Élimination des Déchets (SOGED) pour répondre à la législation en vigueur et aux exigences du marché. Il précisera les procédures mise</w:t>
      </w:r>
      <w:r w:rsidR="009E7E4D" w:rsidRPr="00340F1F">
        <w:rPr>
          <w:rFonts w:ascii="Arial" w:hAnsi="Arial" w:cs="Arial"/>
          <w:i/>
          <w:iCs/>
          <w:sz w:val="24"/>
          <w:szCs w:val="24"/>
        </w:rPr>
        <w:t>s</w:t>
      </w:r>
      <w:r w:rsidRPr="00340F1F">
        <w:rPr>
          <w:rFonts w:ascii="Arial" w:hAnsi="Arial" w:cs="Arial"/>
          <w:i/>
          <w:iCs/>
          <w:sz w:val="24"/>
          <w:szCs w:val="24"/>
        </w:rPr>
        <w:t xml:space="preserve"> en place pour l’élimination des équipements électriques et électroniques, ainsi que le recyclage des emballages et des consommables.</w:t>
      </w:r>
    </w:p>
    <w:p w14:paraId="052682FA" w14:textId="77777777" w:rsidR="00340F1F" w:rsidRDefault="00340F1F" w:rsidP="00340F1F">
      <w:pPr>
        <w:spacing w:after="0"/>
        <w:rPr>
          <w:rFonts w:ascii="Arial" w:hAnsi="Arial" w:cs="Arial"/>
          <w:b/>
          <w:sz w:val="24"/>
          <w:szCs w:val="24"/>
          <w:u w:val="single"/>
        </w:rPr>
      </w:pPr>
    </w:p>
    <w:p w14:paraId="317B5E74" w14:textId="77777777" w:rsidR="00340F1F" w:rsidRPr="00E712BC" w:rsidRDefault="00340F1F" w:rsidP="00340F1F">
      <w:pPr>
        <w:pBdr>
          <w:top w:val="single" w:sz="4" w:space="1" w:color="auto"/>
          <w:left w:val="single" w:sz="4" w:space="4" w:color="auto"/>
          <w:bottom w:val="single" w:sz="4" w:space="1" w:color="auto"/>
          <w:right w:val="single" w:sz="4" w:space="4" w:color="auto"/>
        </w:pBdr>
        <w:jc w:val="both"/>
        <w:rPr>
          <w:rFonts w:ascii="Arial" w:hAnsi="Arial" w:cs="Arial"/>
          <w:color w:val="000000"/>
        </w:rPr>
      </w:pPr>
      <w:permStart w:id="1312427033" w:edGrp="everyone"/>
      <w:r>
        <w:rPr>
          <w:rFonts w:ascii="Arial" w:hAnsi="Arial" w:cs="Arial"/>
          <w:color w:val="000000"/>
        </w:rPr>
        <w:t xml:space="preserve"> ………..</w:t>
      </w:r>
    </w:p>
    <w:permEnd w:id="1312427033"/>
    <w:p w14:paraId="64E3535E" w14:textId="77777777" w:rsidR="00EB1E99" w:rsidRDefault="00EB1E99"/>
    <w:sectPr w:rsidR="00EB1E99" w:rsidSect="00B712B0">
      <w:footerReference w:type="default" r:id="rId9"/>
      <w:pgSz w:w="11906" w:h="16838"/>
      <w:pgMar w:top="426" w:right="424" w:bottom="284" w:left="426" w:header="708" w:footer="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0764B" w14:textId="77777777" w:rsidR="00024E96" w:rsidRDefault="00024E96" w:rsidP="00B712B0">
      <w:pPr>
        <w:spacing w:after="0" w:line="240" w:lineRule="auto"/>
      </w:pPr>
      <w:r>
        <w:separator/>
      </w:r>
    </w:p>
  </w:endnote>
  <w:endnote w:type="continuationSeparator" w:id="0">
    <w:p w14:paraId="396DD93C" w14:textId="77777777" w:rsidR="00024E96" w:rsidRDefault="00024E96" w:rsidP="00B71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05D8C" w14:textId="77777777" w:rsidR="00B712B0" w:rsidRPr="00B712B0" w:rsidRDefault="00B712B0">
    <w:pPr>
      <w:pStyle w:val="Pieddepage"/>
      <w:jc w:val="center"/>
      <w:rPr>
        <w:color w:val="4472C4"/>
      </w:rPr>
    </w:pPr>
    <w:r w:rsidRPr="00B712B0">
      <w:rPr>
        <w:color w:val="4472C4"/>
      </w:rPr>
      <w:t xml:space="preserve">Page </w:t>
    </w:r>
    <w:r w:rsidRPr="00B712B0">
      <w:rPr>
        <w:color w:val="4472C4"/>
      </w:rPr>
      <w:fldChar w:fldCharType="begin"/>
    </w:r>
    <w:r w:rsidRPr="00B712B0">
      <w:rPr>
        <w:color w:val="4472C4"/>
      </w:rPr>
      <w:instrText>PAGE  \* Arabic  \* MERGEFORMAT</w:instrText>
    </w:r>
    <w:r w:rsidRPr="00B712B0">
      <w:rPr>
        <w:color w:val="4472C4"/>
      </w:rPr>
      <w:fldChar w:fldCharType="separate"/>
    </w:r>
    <w:r w:rsidRPr="00B712B0">
      <w:rPr>
        <w:color w:val="4472C4"/>
      </w:rPr>
      <w:t>2</w:t>
    </w:r>
    <w:r w:rsidRPr="00B712B0">
      <w:rPr>
        <w:color w:val="4472C4"/>
      </w:rPr>
      <w:fldChar w:fldCharType="end"/>
    </w:r>
    <w:r w:rsidRPr="00B712B0">
      <w:rPr>
        <w:color w:val="4472C4"/>
      </w:rPr>
      <w:t xml:space="preserve"> sur </w:t>
    </w:r>
    <w:r w:rsidRPr="00B712B0">
      <w:rPr>
        <w:color w:val="4472C4"/>
      </w:rPr>
      <w:fldChar w:fldCharType="begin"/>
    </w:r>
    <w:r w:rsidRPr="00B712B0">
      <w:rPr>
        <w:color w:val="4472C4"/>
      </w:rPr>
      <w:instrText>NUMPAGES  \* arabe  \* MERGEFORMAT</w:instrText>
    </w:r>
    <w:r w:rsidRPr="00B712B0">
      <w:rPr>
        <w:color w:val="4472C4"/>
      </w:rPr>
      <w:fldChar w:fldCharType="separate"/>
    </w:r>
    <w:r w:rsidRPr="00B712B0">
      <w:rPr>
        <w:color w:val="4472C4"/>
      </w:rPr>
      <w:t>2</w:t>
    </w:r>
    <w:r w:rsidRPr="00B712B0">
      <w:rPr>
        <w:color w:val="4472C4"/>
      </w:rPr>
      <w:fldChar w:fldCharType="end"/>
    </w:r>
  </w:p>
  <w:p w14:paraId="25C19529" w14:textId="77777777" w:rsidR="00B712B0" w:rsidRDefault="00B712B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5A498" w14:textId="77777777" w:rsidR="00024E96" w:rsidRDefault="00024E96" w:rsidP="00B712B0">
      <w:pPr>
        <w:spacing w:after="0" w:line="240" w:lineRule="auto"/>
      </w:pPr>
      <w:r>
        <w:separator/>
      </w:r>
    </w:p>
  </w:footnote>
  <w:footnote w:type="continuationSeparator" w:id="0">
    <w:p w14:paraId="5DA9D38F" w14:textId="77777777" w:rsidR="00024E96" w:rsidRDefault="00024E96" w:rsidP="00B712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4389"/>
    <w:multiLevelType w:val="multilevel"/>
    <w:tmpl w:val="B16CF4B2"/>
    <w:lvl w:ilvl="0">
      <w:start w:val="1"/>
      <w:numFmt w:val="upperRoman"/>
      <w:lvlText w:val="%1."/>
      <w:lvlJc w:val="right"/>
      <w:pPr>
        <w:ind w:left="425" w:hanging="425"/>
      </w:pPr>
      <w:rPr>
        <w:rFonts w:hint="default"/>
      </w:rPr>
    </w:lvl>
    <w:lvl w:ilvl="1">
      <w:start w:val="1"/>
      <w:numFmt w:val="decimal"/>
      <w:suff w:val="space"/>
      <w:lvlText w:val="%1.%2."/>
      <w:lvlJc w:val="left"/>
      <w:pPr>
        <w:ind w:left="425" w:hanging="425"/>
      </w:pPr>
      <w:rPr>
        <w:rFonts w:hint="default"/>
      </w:rPr>
    </w:lvl>
    <w:lvl w:ilvl="2">
      <w:start w:val="1"/>
      <w:numFmt w:val="decimal"/>
      <w:suff w:val="space"/>
      <w:lvlText w:val="%1.%2.%3."/>
      <w:lvlJc w:val="left"/>
      <w:pPr>
        <w:ind w:left="425" w:hanging="425"/>
      </w:pPr>
      <w:rPr>
        <w:rFonts w:hint="default"/>
      </w:rPr>
    </w:lvl>
    <w:lvl w:ilvl="3">
      <w:start w:val="1"/>
      <w:numFmt w:val="decimal"/>
      <w:suff w:val="space"/>
      <w:lvlText w:val="%1.%2.%3.%4."/>
      <w:lvlJc w:val="left"/>
      <w:pPr>
        <w:ind w:left="425" w:hanging="425"/>
      </w:pPr>
      <w:rPr>
        <w:rFonts w:hint="default"/>
      </w:rPr>
    </w:lvl>
    <w:lvl w:ilvl="4">
      <w:start w:val="1"/>
      <w:numFmt w:val="decimal"/>
      <w:lvlText w:val="%1.%2.%3.%4.%5."/>
      <w:lvlJc w:val="left"/>
      <w:pPr>
        <w:ind w:left="425" w:hanging="425"/>
      </w:pPr>
      <w:rPr>
        <w:rFonts w:hint="default"/>
      </w:rPr>
    </w:lvl>
    <w:lvl w:ilvl="5">
      <w:start w:val="1"/>
      <w:numFmt w:val="decimal"/>
      <w:lvlText w:val="%1.%2.%3.%4.%5.%6."/>
      <w:lvlJc w:val="left"/>
      <w:pPr>
        <w:ind w:left="425" w:hanging="425"/>
      </w:pPr>
      <w:rPr>
        <w:rFonts w:hint="default"/>
      </w:rPr>
    </w:lvl>
    <w:lvl w:ilvl="6">
      <w:start w:val="1"/>
      <w:numFmt w:val="decimal"/>
      <w:lvlText w:val="%1.%2.%3.%4.%5.%6.%7."/>
      <w:lvlJc w:val="left"/>
      <w:pPr>
        <w:ind w:left="425" w:hanging="425"/>
      </w:pPr>
      <w:rPr>
        <w:rFonts w:hint="default"/>
      </w:rPr>
    </w:lvl>
    <w:lvl w:ilvl="7">
      <w:start w:val="1"/>
      <w:numFmt w:val="decimal"/>
      <w:lvlText w:val="%1.%2.%3.%4.%5.%6.%7.%8."/>
      <w:lvlJc w:val="left"/>
      <w:pPr>
        <w:ind w:left="425" w:hanging="425"/>
      </w:pPr>
      <w:rPr>
        <w:rFonts w:hint="default"/>
      </w:rPr>
    </w:lvl>
    <w:lvl w:ilvl="8">
      <w:start w:val="1"/>
      <w:numFmt w:val="decimal"/>
      <w:lvlText w:val="%1.%2.%3.%4.%5.%6.%7.%8.%9."/>
      <w:lvlJc w:val="left"/>
      <w:pPr>
        <w:ind w:left="425" w:hanging="425"/>
      </w:pPr>
      <w:rPr>
        <w:rFonts w:hint="default"/>
      </w:rPr>
    </w:lvl>
  </w:abstractNum>
  <w:abstractNum w:abstractNumId="1" w15:restartNumberingAfterBreak="0">
    <w:nsid w:val="06510BBE"/>
    <w:multiLevelType w:val="hybridMultilevel"/>
    <w:tmpl w:val="5D2824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F4B5CB8"/>
    <w:multiLevelType w:val="hybridMultilevel"/>
    <w:tmpl w:val="701A2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9A15606"/>
    <w:multiLevelType w:val="hybridMultilevel"/>
    <w:tmpl w:val="04B027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46492397">
    <w:abstractNumId w:val="0"/>
  </w:num>
  <w:num w:numId="2" w16cid:durableId="879172113">
    <w:abstractNumId w:val="2"/>
  </w:num>
  <w:num w:numId="3" w16cid:durableId="633291289">
    <w:abstractNumId w:val="3"/>
  </w:num>
  <w:num w:numId="4" w16cid:durableId="86662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E99"/>
    <w:rsid w:val="00024E96"/>
    <w:rsid w:val="00054747"/>
    <w:rsid w:val="0005733C"/>
    <w:rsid w:val="00057943"/>
    <w:rsid w:val="00114C1B"/>
    <w:rsid w:val="0014553C"/>
    <w:rsid w:val="001E54BB"/>
    <w:rsid w:val="002256E8"/>
    <w:rsid w:val="002B35F4"/>
    <w:rsid w:val="00340F1F"/>
    <w:rsid w:val="003512B8"/>
    <w:rsid w:val="0036133A"/>
    <w:rsid w:val="003822F6"/>
    <w:rsid w:val="00395438"/>
    <w:rsid w:val="003D64E3"/>
    <w:rsid w:val="004147EF"/>
    <w:rsid w:val="004C495C"/>
    <w:rsid w:val="004F7E53"/>
    <w:rsid w:val="00566ABD"/>
    <w:rsid w:val="00570F72"/>
    <w:rsid w:val="00610AD4"/>
    <w:rsid w:val="006215F9"/>
    <w:rsid w:val="006368A9"/>
    <w:rsid w:val="00700C62"/>
    <w:rsid w:val="00710919"/>
    <w:rsid w:val="0076761D"/>
    <w:rsid w:val="0079715A"/>
    <w:rsid w:val="007C7138"/>
    <w:rsid w:val="00842752"/>
    <w:rsid w:val="008438D6"/>
    <w:rsid w:val="008947B4"/>
    <w:rsid w:val="008E1EEF"/>
    <w:rsid w:val="009507FF"/>
    <w:rsid w:val="0096098E"/>
    <w:rsid w:val="009A6578"/>
    <w:rsid w:val="009E2567"/>
    <w:rsid w:val="009E7E4D"/>
    <w:rsid w:val="009F3322"/>
    <w:rsid w:val="00AB42EC"/>
    <w:rsid w:val="00B712B0"/>
    <w:rsid w:val="00B733F2"/>
    <w:rsid w:val="00BC1921"/>
    <w:rsid w:val="00BE4809"/>
    <w:rsid w:val="00C111A8"/>
    <w:rsid w:val="00C74BB0"/>
    <w:rsid w:val="00C75E16"/>
    <w:rsid w:val="00C8755B"/>
    <w:rsid w:val="00CD57C6"/>
    <w:rsid w:val="00D01427"/>
    <w:rsid w:val="00D2482D"/>
    <w:rsid w:val="00D30B63"/>
    <w:rsid w:val="00DC7FD8"/>
    <w:rsid w:val="00E57835"/>
    <w:rsid w:val="00EB1E99"/>
    <w:rsid w:val="00ED2EE9"/>
    <w:rsid w:val="00EE25D7"/>
    <w:rsid w:val="00FA2516"/>
    <w:rsid w:val="00FC53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66905C20"/>
  <w15:chartTrackingRefBased/>
  <w15:docId w15:val="{8A47E806-07F8-4E1D-86F1-7F265A21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F1F"/>
    <w:pPr>
      <w:spacing w:after="160" w:line="259" w:lineRule="auto"/>
    </w:pPr>
    <w:rPr>
      <w:sz w:val="22"/>
      <w:szCs w:val="22"/>
      <w:lang w:eastAsia="en-US"/>
    </w:rPr>
  </w:style>
  <w:style w:type="paragraph" w:styleId="Titre1">
    <w:name w:val="heading 1"/>
    <w:basedOn w:val="Normal"/>
    <w:next w:val="Normal"/>
    <w:link w:val="Titre1Car"/>
    <w:uiPriority w:val="9"/>
    <w:qFormat/>
    <w:rsid w:val="00114C1B"/>
    <w:pPr>
      <w:keepNext/>
      <w:spacing w:before="240" w:after="60"/>
      <w:outlineLvl w:val="0"/>
    </w:pPr>
    <w:rPr>
      <w:rFonts w:ascii="Aptos Display" w:eastAsia="Times New Roman" w:hAnsi="Aptos Display"/>
      <w:b/>
      <w:bCs/>
      <w:kern w:val="32"/>
      <w:sz w:val="32"/>
      <w:szCs w:val="32"/>
    </w:rPr>
  </w:style>
  <w:style w:type="paragraph" w:styleId="Titre2">
    <w:name w:val="heading 2"/>
    <w:basedOn w:val="Normal"/>
    <w:next w:val="Normal"/>
    <w:link w:val="Titre2Car"/>
    <w:uiPriority w:val="9"/>
    <w:semiHidden/>
    <w:unhideWhenUsed/>
    <w:qFormat/>
    <w:rsid w:val="00114C1B"/>
    <w:pPr>
      <w:keepNext/>
      <w:spacing w:before="240" w:after="60"/>
      <w:outlineLvl w:val="1"/>
    </w:pPr>
    <w:rPr>
      <w:rFonts w:ascii="Aptos Display" w:eastAsia="Times New Roman" w:hAnsi="Aptos Display"/>
      <w:b/>
      <w:bCs/>
      <w:i/>
      <w:iCs/>
      <w:sz w:val="28"/>
      <w:szCs w:val="28"/>
    </w:rPr>
  </w:style>
  <w:style w:type="paragraph" w:styleId="Titre3">
    <w:name w:val="heading 3"/>
    <w:basedOn w:val="Normal"/>
    <w:next w:val="Normal"/>
    <w:link w:val="Titre3Car"/>
    <w:uiPriority w:val="9"/>
    <w:unhideWhenUsed/>
    <w:qFormat/>
    <w:rsid w:val="00114C1B"/>
    <w:pPr>
      <w:keepNext/>
      <w:spacing w:before="240" w:after="60"/>
      <w:outlineLvl w:val="2"/>
    </w:pPr>
    <w:rPr>
      <w:rFonts w:ascii="Aptos Display" w:eastAsia="Times New Roman" w:hAnsi="Aptos Display"/>
      <w:b/>
      <w:b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12B0"/>
    <w:pPr>
      <w:tabs>
        <w:tab w:val="center" w:pos="4536"/>
        <w:tab w:val="right" w:pos="9072"/>
      </w:tabs>
    </w:pPr>
  </w:style>
  <w:style w:type="character" w:customStyle="1" w:styleId="En-tteCar">
    <w:name w:val="En-tête Car"/>
    <w:link w:val="En-tte"/>
    <w:uiPriority w:val="99"/>
    <w:rsid w:val="00B712B0"/>
    <w:rPr>
      <w:sz w:val="22"/>
      <w:szCs w:val="22"/>
      <w:lang w:eastAsia="en-US"/>
    </w:rPr>
  </w:style>
  <w:style w:type="paragraph" w:styleId="Pieddepage">
    <w:name w:val="footer"/>
    <w:basedOn w:val="Normal"/>
    <w:link w:val="PieddepageCar"/>
    <w:uiPriority w:val="99"/>
    <w:unhideWhenUsed/>
    <w:rsid w:val="00B712B0"/>
    <w:pPr>
      <w:tabs>
        <w:tab w:val="center" w:pos="4536"/>
        <w:tab w:val="right" w:pos="9072"/>
      </w:tabs>
    </w:pPr>
  </w:style>
  <w:style w:type="character" w:customStyle="1" w:styleId="PieddepageCar">
    <w:name w:val="Pied de page Car"/>
    <w:link w:val="Pieddepage"/>
    <w:uiPriority w:val="99"/>
    <w:rsid w:val="00B712B0"/>
    <w:rPr>
      <w:sz w:val="22"/>
      <w:szCs w:val="22"/>
      <w:lang w:eastAsia="en-US"/>
    </w:rPr>
  </w:style>
  <w:style w:type="character" w:styleId="Marquedecommentaire">
    <w:name w:val="annotation reference"/>
    <w:uiPriority w:val="99"/>
    <w:semiHidden/>
    <w:unhideWhenUsed/>
    <w:rsid w:val="00C111A8"/>
    <w:rPr>
      <w:sz w:val="16"/>
      <w:szCs w:val="16"/>
    </w:rPr>
  </w:style>
  <w:style w:type="paragraph" w:styleId="Commentaire">
    <w:name w:val="annotation text"/>
    <w:basedOn w:val="Normal"/>
    <w:link w:val="CommentaireCar"/>
    <w:uiPriority w:val="99"/>
    <w:semiHidden/>
    <w:unhideWhenUsed/>
    <w:rsid w:val="00C111A8"/>
    <w:rPr>
      <w:sz w:val="20"/>
      <w:szCs w:val="20"/>
    </w:rPr>
  </w:style>
  <w:style w:type="character" w:customStyle="1" w:styleId="CommentaireCar">
    <w:name w:val="Commentaire Car"/>
    <w:link w:val="Commentaire"/>
    <w:uiPriority w:val="99"/>
    <w:semiHidden/>
    <w:rsid w:val="00C111A8"/>
    <w:rPr>
      <w:lang w:eastAsia="en-US"/>
    </w:rPr>
  </w:style>
  <w:style w:type="paragraph" w:styleId="Objetducommentaire">
    <w:name w:val="annotation subject"/>
    <w:basedOn w:val="Commentaire"/>
    <w:next w:val="Commentaire"/>
    <w:link w:val="ObjetducommentaireCar"/>
    <w:uiPriority w:val="99"/>
    <w:semiHidden/>
    <w:unhideWhenUsed/>
    <w:rsid w:val="00C111A8"/>
    <w:rPr>
      <w:b/>
      <w:bCs/>
    </w:rPr>
  </w:style>
  <w:style w:type="character" w:customStyle="1" w:styleId="ObjetducommentaireCar">
    <w:name w:val="Objet du commentaire Car"/>
    <w:link w:val="Objetducommentaire"/>
    <w:uiPriority w:val="99"/>
    <w:semiHidden/>
    <w:rsid w:val="00C111A8"/>
    <w:rPr>
      <w:b/>
      <w:bCs/>
      <w:lang w:eastAsia="en-US"/>
    </w:rPr>
  </w:style>
  <w:style w:type="paragraph" w:styleId="Textedebulles">
    <w:name w:val="Balloon Text"/>
    <w:basedOn w:val="Normal"/>
    <w:link w:val="TextedebullesCar"/>
    <w:uiPriority w:val="99"/>
    <w:semiHidden/>
    <w:unhideWhenUsed/>
    <w:rsid w:val="00C111A8"/>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C111A8"/>
    <w:rPr>
      <w:rFonts w:ascii="Segoe UI" w:hAnsi="Segoe UI" w:cs="Segoe UI"/>
      <w:sz w:val="18"/>
      <w:szCs w:val="18"/>
      <w:lang w:eastAsia="en-US"/>
    </w:rPr>
  </w:style>
  <w:style w:type="paragraph" w:styleId="Rvision">
    <w:name w:val="Revision"/>
    <w:hidden/>
    <w:uiPriority w:val="99"/>
    <w:semiHidden/>
    <w:rsid w:val="0036133A"/>
    <w:rPr>
      <w:sz w:val="22"/>
      <w:szCs w:val="22"/>
      <w:lang w:eastAsia="en-US"/>
    </w:rPr>
  </w:style>
  <w:style w:type="character" w:customStyle="1" w:styleId="Titre1Car">
    <w:name w:val="Titre 1 Car"/>
    <w:link w:val="Titre1"/>
    <w:uiPriority w:val="9"/>
    <w:rsid w:val="00114C1B"/>
    <w:rPr>
      <w:rFonts w:ascii="Aptos Display" w:eastAsia="Times New Roman" w:hAnsi="Aptos Display" w:cs="Times New Roman"/>
      <w:b/>
      <w:bCs/>
      <w:kern w:val="32"/>
      <w:sz w:val="32"/>
      <w:szCs w:val="32"/>
      <w:lang w:eastAsia="en-US"/>
    </w:rPr>
  </w:style>
  <w:style w:type="character" w:customStyle="1" w:styleId="Titre2Car">
    <w:name w:val="Titre 2 Car"/>
    <w:link w:val="Titre2"/>
    <w:uiPriority w:val="9"/>
    <w:semiHidden/>
    <w:rsid w:val="00114C1B"/>
    <w:rPr>
      <w:rFonts w:ascii="Aptos Display" w:eastAsia="Times New Roman" w:hAnsi="Aptos Display" w:cs="Times New Roman"/>
      <w:b/>
      <w:bCs/>
      <w:i/>
      <w:iCs/>
      <w:sz w:val="28"/>
      <w:szCs w:val="28"/>
      <w:lang w:eastAsia="en-US"/>
    </w:rPr>
  </w:style>
  <w:style w:type="character" w:customStyle="1" w:styleId="Titre3Car">
    <w:name w:val="Titre 3 Car"/>
    <w:link w:val="Titre3"/>
    <w:uiPriority w:val="9"/>
    <w:rsid w:val="00114C1B"/>
    <w:rPr>
      <w:rFonts w:ascii="Aptos Display" w:eastAsia="Times New Roman" w:hAnsi="Aptos Display" w:cs="Times New Roman"/>
      <w:b/>
      <w:bCs/>
      <w:sz w:val="26"/>
      <w:szCs w:val="26"/>
      <w:lang w:eastAsia="en-US"/>
    </w:rPr>
  </w:style>
  <w:style w:type="paragraph" w:styleId="TM1">
    <w:name w:val="toc 1"/>
    <w:basedOn w:val="Normal"/>
    <w:next w:val="Normal"/>
    <w:autoRedefine/>
    <w:uiPriority w:val="39"/>
    <w:unhideWhenUsed/>
    <w:rsid w:val="00340F1F"/>
  </w:style>
  <w:style w:type="paragraph" w:styleId="TM2">
    <w:name w:val="toc 2"/>
    <w:basedOn w:val="Normal"/>
    <w:next w:val="Normal"/>
    <w:autoRedefine/>
    <w:uiPriority w:val="39"/>
    <w:unhideWhenUsed/>
    <w:rsid w:val="00340F1F"/>
    <w:pPr>
      <w:ind w:left="220"/>
    </w:pPr>
  </w:style>
  <w:style w:type="paragraph" w:styleId="TM3">
    <w:name w:val="toc 3"/>
    <w:basedOn w:val="Normal"/>
    <w:next w:val="Normal"/>
    <w:autoRedefine/>
    <w:uiPriority w:val="39"/>
    <w:unhideWhenUsed/>
    <w:rsid w:val="00340F1F"/>
    <w:pPr>
      <w:ind w:left="440"/>
    </w:pPr>
  </w:style>
  <w:style w:type="character" w:styleId="Lienhypertexte">
    <w:name w:val="Hyperlink"/>
    <w:uiPriority w:val="99"/>
    <w:unhideWhenUsed/>
    <w:rsid w:val="00340F1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70721">
      <w:bodyDiv w:val="1"/>
      <w:marLeft w:val="0"/>
      <w:marRight w:val="0"/>
      <w:marTop w:val="0"/>
      <w:marBottom w:val="0"/>
      <w:divBdr>
        <w:top w:val="none" w:sz="0" w:space="0" w:color="auto"/>
        <w:left w:val="none" w:sz="0" w:space="0" w:color="auto"/>
        <w:bottom w:val="none" w:sz="0" w:space="0" w:color="auto"/>
        <w:right w:val="none" w:sz="0" w:space="0" w:color="auto"/>
      </w:divBdr>
    </w:div>
    <w:div w:id="621232319">
      <w:bodyDiv w:val="1"/>
      <w:marLeft w:val="0"/>
      <w:marRight w:val="0"/>
      <w:marTop w:val="0"/>
      <w:marBottom w:val="0"/>
      <w:divBdr>
        <w:top w:val="none" w:sz="0" w:space="0" w:color="auto"/>
        <w:left w:val="none" w:sz="0" w:space="0" w:color="auto"/>
        <w:bottom w:val="none" w:sz="0" w:space="0" w:color="auto"/>
        <w:right w:val="none" w:sz="0" w:space="0" w:color="auto"/>
      </w:divBdr>
    </w:div>
    <w:div w:id="1153252424">
      <w:bodyDiv w:val="1"/>
      <w:marLeft w:val="0"/>
      <w:marRight w:val="0"/>
      <w:marTop w:val="0"/>
      <w:marBottom w:val="0"/>
      <w:divBdr>
        <w:top w:val="none" w:sz="0" w:space="0" w:color="auto"/>
        <w:left w:val="none" w:sz="0" w:space="0" w:color="auto"/>
        <w:bottom w:val="none" w:sz="0" w:space="0" w:color="auto"/>
        <w:right w:val="none" w:sz="0" w:space="0" w:color="auto"/>
      </w:divBdr>
    </w:div>
    <w:div w:id="1226260260">
      <w:bodyDiv w:val="1"/>
      <w:marLeft w:val="0"/>
      <w:marRight w:val="0"/>
      <w:marTop w:val="0"/>
      <w:marBottom w:val="0"/>
      <w:divBdr>
        <w:top w:val="none" w:sz="0" w:space="0" w:color="auto"/>
        <w:left w:val="none" w:sz="0" w:space="0" w:color="auto"/>
        <w:bottom w:val="none" w:sz="0" w:space="0" w:color="auto"/>
        <w:right w:val="none" w:sz="0" w:space="0" w:color="auto"/>
      </w:divBdr>
    </w:div>
    <w:div w:id="1456604877">
      <w:bodyDiv w:val="1"/>
      <w:marLeft w:val="0"/>
      <w:marRight w:val="0"/>
      <w:marTop w:val="0"/>
      <w:marBottom w:val="0"/>
      <w:divBdr>
        <w:top w:val="none" w:sz="0" w:space="0" w:color="auto"/>
        <w:left w:val="none" w:sz="0" w:space="0" w:color="auto"/>
        <w:bottom w:val="none" w:sz="0" w:space="0" w:color="auto"/>
        <w:right w:val="none" w:sz="0" w:space="0" w:color="auto"/>
      </w:divBdr>
    </w:div>
    <w:div w:id="171719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B61CF-6F24-4AF5-9154-FB78D9A2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1369</Words>
  <Characters>7533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Grenoble INP</Company>
  <LinksUpToDate>false</LinksUpToDate>
  <CharactersWithSpaces>8885</CharactersWithSpaces>
  <SharedDoc>false</SharedDoc>
  <HLinks>
    <vt:vector size="66" baseType="variant">
      <vt:variant>
        <vt:i4>1835068</vt:i4>
      </vt:variant>
      <vt:variant>
        <vt:i4>62</vt:i4>
      </vt:variant>
      <vt:variant>
        <vt:i4>0</vt:i4>
      </vt:variant>
      <vt:variant>
        <vt:i4>5</vt:i4>
      </vt:variant>
      <vt:variant>
        <vt:lpwstr/>
      </vt:variant>
      <vt:variant>
        <vt:lpwstr>_Toc221263984</vt:lpwstr>
      </vt:variant>
      <vt:variant>
        <vt:i4>1835068</vt:i4>
      </vt:variant>
      <vt:variant>
        <vt:i4>56</vt:i4>
      </vt:variant>
      <vt:variant>
        <vt:i4>0</vt:i4>
      </vt:variant>
      <vt:variant>
        <vt:i4>5</vt:i4>
      </vt:variant>
      <vt:variant>
        <vt:lpwstr/>
      </vt:variant>
      <vt:variant>
        <vt:lpwstr>_Toc221263983</vt:lpwstr>
      </vt:variant>
      <vt:variant>
        <vt:i4>1835068</vt:i4>
      </vt:variant>
      <vt:variant>
        <vt:i4>50</vt:i4>
      </vt:variant>
      <vt:variant>
        <vt:i4>0</vt:i4>
      </vt:variant>
      <vt:variant>
        <vt:i4>5</vt:i4>
      </vt:variant>
      <vt:variant>
        <vt:lpwstr/>
      </vt:variant>
      <vt:variant>
        <vt:lpwstr>_Toc221263982</vt:lpwstr>
      </vt:variant>
      <vt:variant>
        <vt:i4>1835068</vt:i4>
      </vt:variant>
      <vt:variant>
        <vt:i4>44</vt:i4>
      </vt:variant>
      <vt:variant>
        <vt:i4>0</vt:i4>
      </vt:variant>
      <vt:variant>
        <vt:i4>5</vt:i4>
      </vt:variant>
      <vt:variant>
        <vt:lpwstr/>
      </vt:variant>
      <vt:variant>
        <vt:lpwstr>_Toc221263981</vt:lpwstr>
      </vt:variant>
      <vt:variant>
        <vt:i4>1835068</vt:i4>
      </vt:variant>
      <vt:variant>
        <vt:i4>38</vt:i4>
      </vt:variant>
      <vt:variant>
        <vt:i4>0</vt:i4>
      </vt:variant>
      <vt:variant>
        <vt:i4>5</vt:i4>
      </vt:variant>
      <vt:variant>
        <vt:lpwstr/>
      </vt:variant>
      <vt:variant>
        <vt:lpwstr>_Toc221263980</vt:lpwstr>
      </vt:variant>
      <vt:variant>
        <vt:i4>1245244</vt:i4>
      </vt:variant>
      <vt:variant>
        <vt:i4>32</vt:i4>
      </vt:variant>
      <vt:variant>
        <vt:i4>0</vt:i4>
      </vt:variant>
      <vt:variant>
        <vt:i4>5</vt:i4>
      </vt:variant>
      <vt:variant>
        <vt:lpwstr/>
      </vt:variant>
      <vt:variant>
        <vt:lpwstr>_Toc221263979</vt:lpwstr>
      </vt:variant>
      <vt:variant>
        <vt:i4>1245244</vt:i4>
      </vt:variant>
      <vt:variant>
        <vt:i4>26</vt:i4>
      </vt:variant>
      <vt:variant>
        <vt:i4>0</vt:i4>
      </vt:variant>
      <vt:variant>
        <vt:i4>5</vt:i4>
      </vt:variant>
      <vt:variant>
        <vt:lpwstr/>
      </vt:variant>
      <vt:variant>
        <vt:lpwstr>_Toc221263978</vt:lpwstr>
      </vt:variant>
      <vt:variant>
        <vt:i4>1245244</vt:i4>
      </vt:variant>
      <vt:variant>
        <vt:i4>20</vt:i4>
      </vt:variant>
      <vt:variant>
        <vt:i4>0</vt:i4>
      </vt:variant>
      <vt:variant>
        <vt:i4>5</vt:i4>
      </vt:variant>
      <vt:variant>
        <vt:lpwstr/>
      </vt:variant>
      <vt:variant>
        <vt:lpwstr>_Toc221263977</vt:lpwstr>
      </vt:variant>
      <vt:variant>
        <vt:i4>1245244</vt:i4>
      </vt:variant>
      <vt:variant>
        <vt:i4>14</vt:i4>
      </vt:variant>
      <vt:variant>
        <vt:i4>0</vt:i4>
      </vt:variant>
      <vt:variant>
        <vt:i4>5</vt:i4>
      </vt:variant>
      <vt:variant>
        <vt:lpwstr/>
      </vt:variant>
      <vt:variant>
        <vt:lpwstr>_Toc221263976</vt:lpwstr>
      </vt:variant>
      <vt:variant>
        <vt:i4>1245244</vt:i4>
      </vt:variant>
      <vt:variant>
        <vt:i4>8</vt:i4>
      </vt:variant>
      <vt:variant>
        <vt:i4>0</vt:i4>
      </vt:variant>
      <vt:variant>
        <vt:i4>5</vt:i4>
      </vt:variant>
      <vt:variant>
        <vt:lpwstr/>
      </vt:variant>
      <vt:variant>
        <vt:lpwstr>_Toc221263975</vt:lpwstr>
      </vt:variant>
      <vt:variant>
        <vt:i4>1245244</vt:i4>
      </vt:variant>
      <vt:variant>
        <vt:i4>2</vt:i4>
      </vt:variant>
      <vt:variant>
        <vt:i4>0</vt:i4>
      </vt:variant>
      <vt:variant>
        <vt:i4>5</vt:i4>
      </vt:variant>
      <vt:variant>
        <vt:lpwstr/>
      </vt:variant>
      <vt:variant>
        <vt:lpwstr>_Toc221263974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VIRAPIN Luc (virapinl)</dc:creator>
  <cp:keywords/>
  <dc:description/>
  <cp:lastModifiedBy>AWON'GA Atchre (awongaa)</cp:lastModifiedBy>
  <cp:revision>2</cp:revision>
  <dcterms:created xsi:type="dcterms:W3CDTF">2026-02-26T14:52:00Z</dcterms:created>
  <dcterms:modified xsi:type="dcterms:W3CDTF">2026-02-26T14:52:00Z</dcterms:modified>
</cp:coreProperties>
</file>